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3228" w:rsidRDefault="00FD3228" w:rsidP="00FD3228">
      <w:pPr>
        <w:spacing w:line="382" w:lineRule="auto"/>
        <w:ind w:left="260" w:right="118"/>
        <w:rPr>
          <w:rFonts w:ascii="Arial" w:eastAsia="Arial" w:hAnsi="Arial" w:cs="Arial"/>
          <w:b/>
          <w:bCs/>
          <w:sz w:val="23"/>
          <w:szCs w:val="23"/>
        </w:rPr>
      </w:pPr>
      <w:r>
        <w:rPr>
          <w:rFonts w:ascii="Arial" w:eastAsia="Arial" w:hAnsi="Arial" w:cs="Arial"/>
          <w:b/>
          <w:bCs/>
          <w:sz w:val="23"/>
          <w:szCs w:val="23"/>
        </w:rPr>
        <w:t>UNIDAD CURRICULAR CIUDADANIA Y TRABAJO</w:t>
      </w:r>
    </w:p>
    <w:p w:rsidR="00FD3228" w:rsidRDefault="00FD3228" w:rsidP="00FD3228">
      <w:pPr>
        <w:spacing w:line="382" w:lineRule="auto"/>
        <w:ind w:left="260" w:right="118"/>
        <w:rPr>
          <w:sz w:val="20"/>
          <w:szCs w:val="20"/>
        </w:rPr>
      </w:pPr>
      <w:r>
        <w:rPr>
          <w:rFonts w:ascii="Arial" w:eastAsia="Arial" w:hAnsi="Arial" w:cs="Arial"/>
          <w:b/>
          <w:bCs/>
          <w:sz w:val="23"/>
          <w:szCs w:val="23"/>
        </w:rPr>
        <w:t>4°Año- 2° Ciclo</w:t>
      </w:r>
    </w:p>
    <w:p w:rsidR="00FD3228" w:rsidRDefault="00FD3228" w:rsidP="00FD3228"/>
    <w:p w:rsidR="00FD3228" w:rsidRDefault="00FD3228" w:rsidP="00FD3228">
      <w:pPr>
        <w:ind w:left="260"/>
        <w:rPr>
          <w:sz w:val="20"/>
          <w:szCs w:val="20"/>
        </w:rPr>
      </w:pPr>
      <w:bookmarkStart w:id="0" w:name="page118"/>
      <w:bookmarkEnd w:id="0"/>
      <w:r>
        <w:rPr>
          <w:rFonts w:ascii="Arial" w:eastAsia="Arial" w:hAnsi="Arial" w:cs="Arial"/>
          <w:b/>
          <w:bCs/>
          <w:sz w:val="23"/>
          <w:szCs w:val="23"/>
        </w:rPr>
        <w:t>1.- Presentación general de la asignatura</w:t>
      </w:r>
    </w:p>
    <w:p w:rsidR="00FD3228" w:rsidRDefault="00FD3228" w:rsidP="00FD3228">
      <w:pPr>
        <w:spacing w:line="6" w:lineRule="exact"/>
        <w:rPr>
          <w:sz w:val="20"/>
          <w:szCs w:val="20"/>
        </w:rPr>
      </w:pPr>
    </w:p>
    <w:p w:rsidR="00FD3228" w:rsidRDefault="00FD3228" w:rsidP="00FD3228">
      <w:pPr>
        <w:spacing w:line="228" w:lineRule="auto"/>
        <w:ind w:left="260"/>
        <w:jc w:val="both"/>
        <w:rPr>
          <w:sz w:val="20"/>
          <w:szCs w:val="20"/>
        </w:rPr>
      </w:pPr>
      <w:r>
        <w:rPr>
          <w:rFonts w:ascii="Arial" w:eastAsia="Arial" w:hAnsi="Arial" w:cs="Arial"/>
          <w:sz w:val="23"/>
          <w:szCs w:val="23"/>
        </w:rPr>
        <w:t>La Unidad curricular “Ciudadanía y Trabajo”, tiene como finalidad contribuir al desarrollo de los/las alumnos/as de una formación general. Uno de los objetivos de la unidad curricular “Ciudadanía y Trabajo” es continuar en la construcción del ser “ciudadano” cuya formación implica conocer y reflexionar sobre el trabajo, empleo y medio de vida dentro del aparato productivo.</w:t>
      </w:r>
    </w:p>
    <w:p w:rsidR="00FD3228" w:rsidRDefault="00FD3228" w:rsidP="00FD3228">
      <w:pPr>
        <w:spacing w:line="3" w:lineRule="exact"/>
        <w:rPr>
          <w:sz w:val="20"/>
          <w:szCs w:val="20"/>
        </w:rPr>
      </w:pPr>
    </w:p>
    <w:p w:rsidR="00FD3228" w:rsidRDefault="00FD3228" w:rsidP="00FD3228">
      <w:pPr>
        <w:spacing w:line="226" w:lineRule="auto"/>
        <w:ind w:left="260" w:right="20"/>
        <w:jc w:val="both"/>
        <w:rPr>
          <w:sz w:val="20"/>
          <w:szCs w:val="20"/>
        </w:rPr>
      </w:pPr>
      <w:r>
        <w:rPr>
          <w:rFonts w:ascii="Arial" w:eastAsia="Arial" w:hAnsi="Arial" w:cs="Arial"/>
          <w:sz w:val="23"/>
          <w:szCs w:val="23"/>
        </w:rPr>
        <w:t xml:space="preserve">Cuando nos referimos a trabajo hablamos de “desarrollo social individual y colectivo de los ciudadanos” y cuando nos referimos a Ciudadanía, por </w:t>
      </w:r>
      <w:proofErr w:type="gramStart"/>
      <w:r>
        <w:rPr>
          <w:rFonts w:ascii="Arial" w:eastAsia="Arial" w:hAnsi="Arial" w:cs="Arial"/>
          <w:sz w:val="23"/>
          <w:szCs w:val="23"/>
        </w:rPr>
        <w:t>cierto</w:t>
      </w:r>
      <w:proofErr w:type="gramEnd"/>
      <w:r>
        <w:rPr>
          <w:rFonts w:ascii="Arial" w:eastAsia="Arial" w:hAnsi="Arial" w:cs="Arial"/>
          <w:sz w:val="23"/>
          <w:szCs w:val="23"/>
        </w:rPr>
        <w:t xml:space="preserve"> hablamos y lo hacemos desde el “Estado democrático de Derecho”.</w:t>
      </w:r>
    </w:p>
    <w:p w:rsidR="00FD3228" w:rsidRDefault="00FD3228" w:rsidP="00FD3228">
      <w:pPr>
        <w:spacing w:line="2" w:lineRule="exact"/>
        <w:rPr>
          <w:sz w:val="20"/>
          <w:szCs w:val="20"/>
        </w:rPr>
      </w:pPr>
    </w:p>
    <w:p w:rsidR="00FD3228" w:rsidRDefault="00FD3228" w:rsidP="00FD3228">
      <w:pPr>
        <w:spacing w:line="241" w:lineRule="auto"/>
        <w:ind w:left="260"/>
        <w:jc w:val="both"/>
        <w:rPr>
          <w:sz w:val="20"/>
          <w:szCs w:val="20"/>
        </w:rPr>
      </w:pPr>
      <w:r>
        <w:rPr>
          <w:rFonts w:ascii="Arial" w:eastAsia="Arial" w:hAnsi="Arial" w:cs="Arial"/>
          <w:sz w:val="23"/>
          <w:szCs w:val="23"/>
        </w:rPr>
        <w:t>Por ello, a través de los contenidos de la unidad de conocimiento</w:t>
      </w:r>
      <w:r>
        <w:rPr>
          <w:rFonts w:ascii="Arial" w:eastAsia="Arial" w:hAnsi="Arial" w:cs="Arial"/>
          <w:b/>
          <w:bCs/>
          <w:sz w:val="23"/>
          <w:szCs w:val="23"/>
        </w:rPr>
        <w:t>,</w:t>
      </w:r>
      <w:r>
        <w:rPr>
          <w:rFonts w:ascii="Arial" w:eastAsia="Arial" w:hAnsi="Arial" w:cs="Arial"/>
          <w:sz w:val="23"/>
          <w:szCs w:val="23"/>
        </w:rPr>
        <w:t xml:space="preserve"> se propone exponer las formas en que el ciudadano participa y contribuye con su trabajo cotidiano a la sociedad; como, así también, conocer los mecanismos institucionales y el marco legal de los derechos a nivel nacional e internacional.</w:t>
      </w:r>
    </w:p>
    <w:p w:rsidR="00FD3228" w:rsidRDefault="00FD3228" w:rsidP="00FD3228">
      <w:pPr>
        <w:spacing w:line="198" w:lineRule="exact"/>
        <w:rPr>
          <w:sz w:val="20"/>
          <w:szCs w:val="20"/>
        </w:rPr>
      </w:pPr>
    </w:p>
    <w:p w:rsidR="00FD3228" w:rsidRDefault="00FD3228" w:rsidP="00FD3228">
      <w:pPr>
        <w:ind w:left="260"/>
        <w:rPr>
          <w:sz w:val="20"/>
          <w:szCs w:val="20"/>
        </w:rPr>
      </w:pPr>
      <w:r>
        <w:rPr>
          <w:rFonts w:ascii="Arial" w:eastAsia="Arial" w:hAnsi="Arial" w:cs="Arial"/>
          <w:b/>
          <w:bCs/>
          <w:sz w:val="23"/>
          <w:szCs w:val="23"/>
        </w:rPr>
        <w:t>2.- Propósitos generales</w:t>
      </w:r>
    </w:p>
    <w:p w:rsidR="00FD3228" w:rsidRDefault="00FD3228" w:rsidP="00FD3228">
      <w:pPr>
        <w:spacing w:line="6" w:lineRule="exact"/>
        <w:rPr>
          <w:sz w:val="20"/>
          <w:szCs w:val="20"/>
        </w:rPr>
      </w:pPr>
    </w:p>
    <w:p w:rsidR="00FD3228" w:rsidRDefault="00FD3228" w:rsidP="00FD3228">
      <w:pPr>
        <w:ind w:left="260"/>
        <w:rPr>
          <w:sz w:val="20"/>
          <w:szCs w:val="20"/>
        </w:rPr>
      </w:pPr>
      <w:r>
        <w:rPr>
          <w:rFonts w:ascii="Arial" w:eastAsia="Arial" w:hAnsi="Arial" w:cs="Arial"/>
          <w:sz w:val="23"/>
          <w:szCs w:val="23"/>
        </w:rPr>
        <w:t>A través de la enseñanza de “Ciudadanía y Trabajo” se procurará:</w:t>
      </w:r>
    </w:p>
    <w:p w:rsidR="00FD3228" w:rsidRDefault="00FD3228" w:rsidP="00FD3228">
      <w:pPr>
        <w:spacing w:line="6" w:lineRule="exact"/>
        <w:rPr>
          <w:sz w:val="20"/>
          <w:szCs w:val="20"/>
        </w:rPr>
      </w:pPr>
    </w:p>
    <w:p w:rsidR="00FD3228" w:rsidRDefault="00FD3228" w:rsidP="00FD3228">
      <w:pPr>
        <w:numPr>
          <w:ilvl w:val="0"/>
          <w:numId w:val="1"/>
        </w:numPr>
        <w:tabs>
          <w:tab w:val="left" w:pos="965"/>
        </w:tabs>
        <w:spacing w:line="231" w:lineRule="auto"/>
        <w:ind w:left="980" w:hanging="365"/>
        <w:jc w:val="both"/>
        <w:rPr>
          <w:rFonts w:ascii="Arial" w:eastAsia="Arial" w:hAnsi="Arial" w:cs="Arial"/>
          <w:sz w:val="23"/>
          <w:szCs w:val="23"/>
        </w:rPr>
      </w:pPr>
      <w:r>
        <w:rPr>
          <w:rFonts w:ascii="Arial" w:eastAsia="Arial" w:hAnsi="Arial" w:cs="Arial"/>
          <w:sz w:val="23"/>
          <w:szCs w:val="23"/>
        </w:rPr>
        <w:t>Promover la comprensión de la complejidad de las prácticas de trabajo y empleo, como la participación organizada en las instituciones que regulan el mismo, de forma explícita e implícita. Destacar la historicidad de las ideas acerca de la ciudadanía y los derechos al trabajo.</w:t>
      </w:r>
    </w:p>
    <w:p w:rsidR="00FD3228" w:rsidRDefault="00FD3228" w:rsidP="00FD3228">
      <w:pPr>
        <w:spacing w:line="1" w:lineRule="exact"/>
        <w:rPr>
          <w:rFonts w:ascii="Arial" w:eastAsia="Arial" w:hAnsi="Arial" w:cs="Arial"/>
          <w:sz w:val="23"/>
          <w:szCs w:val="23"/>
        </w:rPr>
      </w:pPr>
    </w:p>
    <w:p w:rsidR="00FD3228" w:rsidRDefault="00FD3228" w:rsidP="00FD3228">
      <w:pPr>
        <w:numPr>
          <w:ilvl w:val="0"/>
          <w:numId w:val="1"/>
        </w:numPr>
        <w:tabs>
          <w:tab w:val="left" w:pos="965"/>
        </w:tabs>
        <w:spacing w:line="235" w:lineRule="auto"/>
        <w:ind w:left="980" w:hanging="365"/>
        <w:jc w:val="both"/>
        <w:rPr>
          <w:rFonts w:ascii="Arial" w:eastAsia="Arial" w:hAnsi="Arial" w:cs="Arial"/>
          <w:sz w:val="23"/>
          <w:szCs w:val="23"/>
        </w:rPr>
      </w:pPr>
      <w:r>
        <w:rPr>
          <w:rFonts w:ascii="Arial" w:eastAsia="Arial" w:hAnsi="Arial" w:cs="Arial"/>
          <w:sz w:val="23"/>
          <w:szCs w:val="23"/>
        </w:rPr>
        <w:t>Favorecer la comprensión de la ciudadanía como una práctica social fundada en el reconocimiento de la persona como sujeto de derechos y obligaciones, y del Trabajo como responsable del efectivo desarrollo del ciudadano.</w:t>
      </w:r>
    </w:p>
    <w:p w:rsidR="00FD3228" w:rsidRDefault="00FD3228" w:rsidP="00FD3228">
      <w:pPr>
        <w:spacing w:line="2" w:lineRule="exact"/>
        <w:rPr>
          <w:rFonts w:ascii="Arial" w:eastAsia="Arial" w:hAnsi="Arial" w:cs="Arial"/>
          <w:sz w:val="23"/>
          <w:szCs w:val="23"/>
        </w:rPr>
      </w:pPr>
    </w:p>
    <w:p w:rsidR="00FD3228" w:rsidRDefault="00FD3228" w:rsidP="00FD3228">
      <w:pPr>
        <w:numPr>
          <w:ilvl w:val="0"/>
          <w:numId w:val="1"/>
        </w:numPr>
        <w:tabs>
          <w:tab w:val="left" w:pos="965"/>
        </w:tabs>
        <w:spacing w:line="238" w:lineRule="auto"/>
        <w:ind w:left="980" w:hanging="364"/>
        <w:rPr>
          <w:rFonts w:ascii="Arial" w:eastAsia="Arial" w:hAnsi="Arial" w:cs="Arial"/>
          <w:sz w:val="23"/>
          <w:szCs w:val="23"/>
        </w:rPr>
      </w:pPr>
      <w:r>
        <w:rPr>
          <w:rFonts w:ascii="Arial" w:eastAsia="Arial" w:hAnsi="Arial" w:cs="Arial"/>
          <w:sz w:val="23"/>
          <w:szCs w:val="23"/>
        </w:rPr>
        <w:t>Promover la reflexión sobre las desigualdades y la vulnerabilidad de los derechos al trabajo, grupos desfavorecidos, marginales y no registrados.</w:t>
      </w:r>
    </w:p>
    <w:p w:rsidR="00FD3228" w:rsidRDefault="00FD3228" w:rsidP="00FD3228">
      <w:pPr>
        <w:numPr>
          <w:ilvl w:val="0"/>
          <w:numId w:val="1"/>
        </w:numPr>
        <w:tabs>
          <w:tab w:val="left" w:pos="965"/>
        </w:tabs>
        <w:spacing w:line="237" w:lineRule="auto"/>
        <w:ind w:left="980" w:hanging="364"/>
        <w:jc w:val="both"/>
        <w:rPr>
          <w:rFonts w:ascii="Arial" w:eastAsia="Arial" w:hAnsi="Arial" w:cs="Arial"/>
          <w:sz w:val="23"/>
          <w:szCs w:val="23"/>
        </w:rPr>
      </w:pPr>
      <w:r>
        <w:rPr>
          <w:rFonts w:ascii="Arial" w:eastAsia="Arial" w:hAnsi="Arial" w:cs="Arial"/>
          <w:sz w:val="23"/>
          <w:szCs w:val="23"/>
        </w:rPr>
        <w:t>Propiciar espacios de análisis y deliberación sobre los lineamientos de una relación laboral dentro de la sociedad democrática progresivamente más justa, sobre la base del Estado de derecho contemplado en la Constitución de la Nación Argentina.</w:t>
      </w:r>
    </w:p>
    <w:p w:rsidR="00FD3228" w:rsidRDefault="00FD3228" w:rsidP="00FD3228">
      <w:pPr>
        <w:spacing w:line="190" w:lineRule="exact"/>
        <w:rPr>
          <w:sz w:val="20"/>
          <w:szCs w:val="20"/>
        </w:rPr>
      </w:pPr>
    </w:p>
    <w:p w:rsidR="00FD3228" w:rsidRDefault="00FD3228" w:rsidP="00FD3228">
      <w:pPr>
        <w:ind w:left="260"/>
        <w:rPr>
          <w:sz w:val="20"/>
          <w:szCs w:val="20"/>
        </w:rPr>
      </w:pPr>
      <w:r>
        <w:rPr>
          <w:rFonts w:ascii="Arial" w:eastAsia="Arial" w:hAnsi="Arial" w:cs="Arial"/>
          <w:b/>
          <w:bCs/>
          <w:sz w:val="23"/>
          <w:szCs w:val="23"/>
        </w:rPr>
        <w:t>3.-Presentación de la unidad curricular</w:t>
      </w:r>
    </w:p>
    <w:p w:rsidR="00FD3228" w:rsidRDefault="00FD3228" w:rsidP="00FD3228">
      <w:pPr>
        <w:spacing w:line="253" w:lineRule="auto"/>
        <w:ind w:left="260"/>
        <w:jc w:val="both"/>
        <w:rPr>
          <w:sz w:val="20"/>
          <w:szCs w:val="20"/>
        </w:rPr>
      </w:pPr>
      <w:r>
        <w:rPr>
          <w:rFonts w:ascii="Arial" w:eastAsia="Arial" w:hAnsi="Arial" w:cs="Arial"/>
          <w:sz w:val="21"/>
          <w:szCs w:val="21"/>
        </w:rPr>
        <w:t>Uno de los objetivos de “</w:t>
      </w:r>
      <w:r>
        <w:rPr>
          <w:rFonts w:ascii="Arial" w:eastAsia="Arial" w:hAnsi="Arial" w:cs="Arial"/>
          <w:b/>
          <w:bCs/>
          <w:sz w:val="21"/>
          <w:szCs w:val="21"/>
        </w:rPr>
        <w:t>Ciudadanía y Trabajo</w:t>
      </w:r>
      <w:r>
        <w:rPr>
          <w:rFonts w:ascii="Arial" w:eastAsia="Arial" w:hAnsi="Arial" w:cs="Arial"/>
          <w:sz w:val="21"/>
          <w:szCs w:val="21"/>
        </w:rPr>
        <w:t>”, consiste en conocer una realidad socio-productiva donde el ciudadano no está ausente, y con la finalidad de regular el conflicto a través del conocimiento del marco regulatorio de la actividad ciudadana y laboral, derivado de las diversidades propias de la sociedad. El Estado debe regular, controlar y orientar la participación del ciudadano en el mercado laboral, de manera tal que sea posible la promoción y el estímulo de la justicia social, la independencia económica y la soberanía del derecho democrático en todos los sectores de la vida social.</w:t>
      </w:r>
    </w:p>
    <w:p w:rsidR="00FD3228" w:rsidRDefault="00FD3228" w:rsidP="00FD3228">
      <w:pPr>
        <w:spacing w:line="4" w:lineRule="exact"/>
        <w:rPr>
          <w:sz w:val="20"/>
          <w:szCs w:val="20"/>
        </w:rPr>
      </w:pPr>
    </w:p>
    <w:p w:rsidR="00FD3228" w:rsidRDefault="00FD3228" w:rsidP="00FD3228">
      <w:pPr>
        <w:spacing w:line="227" w:lineRule="auto"/>
        <w:ind w:left="260"/>
        <w:jc w:val="both"/>
        <w:rPr>
          <w:sz w:val="20"/>
          <w:szCs w:val="20"/>
        </w:rPr>
      </w:pPr>
      <w:r>
        <w:rPr>
          <w:rFonts w:ascii="Arial" w:eastAsia="Arial" w:hAnsi="Arial" w:cs="Arial"/>
          <w:sz w:val="23"/>
          <w:szCs w:val="23"/>
        </w:rPr>
        <w:t>El conocimiento del Ciudadano trabajador en su origen, concepción, tipos históricos, formas recientes y organismos de control, es esencial para que las personas tomen conciencia de su necesaria existencia como garante de los derechos, a través de sus órganos de gobierno.</w:t>
      </w:r>
    </w:p>
    <w:p w:rsidR="00FD3228" w:rsidRDefault="00FD3228" w:rsidP="00FD3228">
      <w:pPr>
        <w:spacing w:line="4" w:lineRule="exact"/>
        <w:rPr>
          <w:sz w:val="20"/>
          <w:szCs w:val="20"/>
        </w:rPr>
      </w:pPr>
    </w:p>
    <w:p w:rsidR="00FD3228" w:rsidRDefault="00FD3228" w:rsidP="00FD3228">
      <w:pPr>
        <w:spacing w:line="237" w:lineRule="auto"/>
        <w:ind w:left="260"/>
        <w:jc w:val="both"/>
        <w:rPr>
          <w:rFonts w:ascii="Arial" w:eastAsia="Arial" w:hAnsi="Arial" w:cs="Arial"/>
          <w:sz w:val="23"/>
          <w:szCs w:val="23"/>
        </w:rPr>
      </w:pPr>
      <w:r>
        <w:rPr>
          <w:rFonts w:ascii="Arial" w:eastAsia="Arial" w:hAnsi="Arial" w:cs="Arial"/>
          <w:sz w:val="23"/>
          <w:szCs w:val="23"/>
        </w:rPr>
        <w:t>En un sistema democrático la ciudadanía, además de votar, debe tener oportunidad de expresar sus inquietudes y puntos de vista respecto a los temas que le interesan e influir sobre las decisiones que se tomen al respecto. La Constitución Nacional y la Constitución de la Ciudad de Buenos Aires establecen diversos mecanismos de garantía para el ciudadano y su derecho al trabajo, como una manera de hacer realidad la democracia participativa.</w:t>
      </w:r>
    </w:p>
    <w:p w:rsidR="00FD3228" w:rsidRDefault="00FD3228" w:rsidP="00FD3228">
      <w:pPr>
        <w:spacing w:line="263" w:lineRule="auto"/>
        <w:ind w:left="260"/>
        <w:jc w:val="both"/>
        <w:rPr>
          <w:rFonts w:ascii="Arial" w:eastAsia="Arial" w:hAnsi="Arial" w:cs="Arial"/>
          <w:sz w:val="16"/>
          <w:szCs w:val="16"/>
        </w:rPr>
      </w:pPr>
      <w:bookmarkStart w:id="1" w:name="page119"/>
      <w:bookmarkEnd w:id="1"/>
    </w:p>
    <w:p w:rsidR="00FD3228" w:rsidRDefault="00FD3228" w:rsidP="00FD3228">
      <w:pPr>
        <w:spacing w:line="263" w:lineRule="auto"/>
        <w:ind w:left="260"/>
        <w:jc w:val="both"/>
        <w:rPr>
          <w:sz w:val="20"/>
          <w:szCs w:val="20"/>
        </w:rPr>
      </w:pPr>
      <w:r>
        <w:rPr>
          <w:rFonts w:ascii="Arial" w:eastAsia="Arial" w:hAnsi="Arial" w:cs="Arial"/>
          <w:sz w:val="21"/>
          <w:szCs w:val="21"/>
        </w:rPr>
        <w:lastRenderedPageBreak/>
        <w:t>La participación debe ser organizada y en el marco de las instituciones gremio u ONG. No es una actividad individual sino una acción colectiva. Por lo tanto, formar hombres y mujeres considerados “ciudadanos” que tengan trabajo digno y cultura del mismo, y que actúan políticamente cuando participan en los asuntos comunes debatiendo y tomando decisiones que afectan o pueden afectar a todos los miembros de la sociedad.</w:t>
      </w:r>
    </w:p>
    <w:p w:rsidR="00FD3228" w:rsidRDefault="00FD3228" w:rsidP="00FD3228">
      <w:pPr>
        <w:spacing w:line="176" w:lineRule="exact"/>
        <w:rPr>
          <w:sz w:val="20"/>
          <w:szCs w:val="20"/>
        </w:rPr>
      </w:pPr>
    </w:p>
    <w:p w:rsidR="00FD3228" w:rsidRDefault="00FD3228" w:rsidP="00FD3228">
      <w:pPr>
        <w:ind w:left="260"/>
        <w:rPr>
          <w:sz w:val="20"/>
          <w:szCs w:val="20"/>
        </w:rPr>
      </w:pPr>
      <w:r>
        <w:rPr>
          <w:rFonts w:ascii="Arial" w:eastAsia="Arial" w:hAnsi="Arial" w:cs="Arial"/>
          <w:b/>
          <w:bCs/>
          <w:sz w:val="23"/>
          <w:szCs w:val="23"/>
        </w:rPr>
        <w:t>4.-Contenidos:</w:t>
      </w:r>
    </w:p>
    <w:p w:rsidR="00FD3228" w:rsidRDefault="00FD3228" w:rsidP="00FD3228">
      <w:pPr>
        <w:spacing w:line="6" w:lineRule="exact"/>
        <w:rPr>
          <w:sz w:val="20"/>
          <w:szCs w:val="20"/>
        </w:rPr>
      </w:pPr>
    </w:p>
    <w:p w:rsidR="00FD3228" w:rsidRDefault="00FD3228" w:rsidP="00FD3228">
      <w:pPr>
        <w:spacing w:line="224" w:lineRule="auto"/>
        <w:ind w:left="260" w:right="20"/>
        <w:jc w:val="both"/>
        <w:rPr>
          <w:sz w:val="20"/>
          <w:szCs w:val="20"/>
        </w:rPr>
      </w:pPr>
      <w:r>
        <w:rPr>
          <w:rFonts w:ascii="Arial" w:eastAsia="Arial" w:hAnsi="Arial" w:cs="Arial"/>
          <w:sz w:val="23"/>
          <w:szCs w:val="23"/>
        </w:rPr>
        <w:t>Para la organización de la enseñanza de esta unidad curricular se han organizado los contenidos en dispositivos que estudian los siguientes temas:</w:t>
      </w:r>
    </w:p>
    <w:p w:rsidR="00FD3228" w:rsidRDefault="00FD3228" w:rsidP="00FD3228">
      <w:pPr>
        <w:numPr>
          <w:ilvl w:val="0"/>
          <w:numId w:val="2"/>
        </w:numPr>
        <w:tabs>
          <w:tab w:val="left" w:pos="960"/>
        </w:tabs>
        <w:spacing w:line="231" w:lineRule="auto"/>
        <w:ind w:left="960" w:hanging="465"/>
        <w:rPr>
          <w:rFonts w:ascii="Arial" w:eastAsia="Arial" w:hAnsi="Arial" w:cs="Arial"/>
          <w:b/>
          <w:bCs/>
          <w:i/>
          <w:iCs/>
          <w:sz w:val="23"/>
          <w:szCs w:val="23"/>
        </w:rPr>
      </w:pPr>
      <w:r>
        <w:rPr>
          <w:rFonts w:ascii="Arial" w:eastAsia="Arial" w:hAnsi="Arial" w:cs="Arial"/>
          <w:b/>
          <w:bCs/>
          <w:sz w:val="23"/>
          <w:szCs w:val="23"/>
        </w:rPr>
        <w:t>Trabajo, Empleo y Mercado de Trabajo</w:t>
      </w:r>
    </w:p>
    <w:p w:rsidR="00FD3228" w:rsidRDefault="00FD3228" w:rsidP="00FD3228">
      <w:pPr>
        <w:numPr>
          <w:ilvl w:val="0"/>
          <w:numId w:val="3"/>
        </w:numPr>
        <w:tabs>
          <w:tab w:val="left" w:pos="960"/>
        </w:tabs>
        <w:spacing w:line="218" w:lineRule="auto"/>
        <w:ind w:left="960" w:hanging="525"/>
        <w:rPr>
          <w:rFonts w:ascii="Arial" w:eastAsia="Arial" w:hAnsi="Arial" w:cs="Arial"/>
          <w:b/>
          <w:bCs/>
          <w:i/>
          <w:iCs/>
          <w:sz w:val="23"/>
          <w:szCs w:val="23"/>
        </w:rPr>
      </w:pPr>
      <w:r>
        <w:rPr>
          <w:rFonts w:ascii="Arial" w:eastAsia="Arial" w:hAnsi="Arial" w:cs="Arial"/>
          <w:b/>
          <w:bCs/>
          <w:sz w:val="23"/>
          <w:szCs w:val="23"/>
        </w:rPr>
        <w:t>Derecho del Trabajo</w:t>
      </w:r>
    </w:p>
    <w:p w:rsidR="00FD3228" w:rsidRDefault="00FD3228" w:rsidP="00FD3228">
      <w:pPr>
        <w:spacing w:line="1" w:lineRule="exact"/>
        <w:rPr>
          <w:sz w:val="20"/>
          <w:szCs w:val="20"/>
        </w:rPr>
      </w:pPr>
    </w:p>
    <w:p w:rsidR="00FD3228" w:rsidRDefault="00FD3228" w:rsidP="00FD3228">
      <w:pPr>
        <w:numPr>
          <w:ilvl w:val="1"/>
          <w:numId w:val="4"/>
        </w:numPr>
        <w:tabs>
          <w:tab w:val="left" w:pos="960"/>
        </w:tabs>
        <w:ind w:left="960" w:hanging="585"/>
        <w:rPr>
          <w:rFonts w:ascii="Arial" w:eastAsia="Arial" w:hAnsi="Arial" w:cs="Arial"/>
          <w:b/>
          <w:bCs/>
          <w:i/>
          <w:iCs/>
          <w:sz w:val="23"/>
          <w:szCs w:val="23"/>
        </w:rPr>
      </w:pPr>
      <w:r>
        <w:rPr>
          <w:rFonts w:ascii="Arial" w:eastAsia="Arial" w:hAnsi="Arial" w:cs="Arial"/>
          <w:b/>
          <w:bCs/>
          <w:sz w:val="23"/>
          <w:szCs w:val="23"/>
        </w:rPr>
        <w:t>Trabajo, Estado y Política Social y Laboral</w:t>
      </w:r>
    </w:p>
    <w:p w:rsidR="00FD3228" w:rsidRDefault="00FD3228" w:rsidP="00FD3228">
      <w:pPr>
        <w:spacing w:line="251" w:lineRule="exact"/>
        <w:rPr>
          <w:rFonts w:ascii="Arial" w:eastAsia="Arial" w:hAnsi="Arial" w:cs="Arial"/>
          <w:b/>
          <w:bCs/>
          <w:i/>
          <w:iCs/>
          <w:sz w:val="23"/>
          <w:szCs w:val="23"/>
        </w:rPr>
      </w:pPr>
    </w:p>
    <w:p w:rsidR="00FD3228" w:rsidRDefault="00FD3228" w:rsidP="00FD3228">
      <w:pPr>
        <w:ind w:left="260"/>
        <w:rPr>
          <w:rFonts w:ascii="Arial" w:eastAsia="Arial" w:hAnsi="Arial" w:cs="Arial"/>
          <w:b/>
          <w:bCs/>
          <w:i/>
          <w:iCs/>
          <w:sz w:val="23"/>
          <w:szCs w:val="23"/>
        </w:rPr>
      </w:pPr>
      <w:r>
        <w:rPr>
          <w:rFonts w:ascii="Arial" w:eastAsia="Arial" w:hAnsi="Arial" w:cs="Arial"/>
          <w:i/>
          <w:iCs/>
          <w:sz w:val="23"/>
          <w:szCs w:val="23"/>
        </w:rPr>
        <w:t xml:space="preserve">I. </w:t>
      </w:r>
      <w:r>
        <w:rPr>
          <w:rFonts w:ascii="Arial" w:eastAsia="Arial" w:hAnsi="Arial" w:cs="Arial"/>
          <w:sz w:val="23"/>
          <w:szCs w:val="23"/>
        </w:rPr>
        <w:t>TRABAJO, EMPLEO Y MERCADO DE TRABAJO</w:t>
      </w:r>
    </w:p>
    <w:p w:rsidR="00FD3228" w:rsidRDefault="00FD3228" w:rsidP="00FD3228">
      <w:pPr>
        <w:spacing w:line="231" w:lineRule="auto"/>
        <w:ind w:left="260"/>
        <w:jc w:val="both"/>
        <w:rPr>
          <w:sz w:val="20"/>
          <w:szCs w:val="20"/>
        </w:rPr>
      </w:pPr>
      <w:r>
        <w:rPr>
          <w:rFonts w:ascii="Arial" w:eastAsia="Arial" w:hAnsi="Arial" w:cs="Arial"/>
          <w:sz w:val="23"/>
          <w:szCs w:val="23"/>
        </w:rPr>
        <w:t>Concepto de trabajo y empleo. El trabajo humano: su especificidad. Dimensiones del trabajo humano. El trabajo como categoría sociohistórica y antropológica. El trabajo como espacio social de formación de identidades. Las relaciones de trabajo y su papel en la construcción de las relaciones sociales y de la sociedad.</w:t>
      </w:r>
    </w:p>
    <w:p w:rsidR="00FD3228" w:rsidRDefault="00FD3228" w:rsidP="00FD3228">
      <w:pPr>
        <w:spacing w:line="1" w:lineRule="exact"/>
        <w:rPr>
          <w:sz w:val="20"/>
          <w:szCs w:val="20"/>
        </w:rPr>
      </w:pPr>
    </w:p>
    <w:p w:rsidR="00FD3228" w:rsidRDefault="00FD3228" w:rsidP="00FD3228">
      <w:pPr>
        <w:spacing w:line="224" w:lineRule="auto"/>
        <w:ind w:left="260"/>
        <w:jc w:val="both"/>
        <w:rPr>
          <w:sz w:val="20"/>
          <w:szCs w:val="20"/>
        </w:rPr>
      </w:pPr>
      <w:r>
        <w:rPr>
          <w:rFonts w:ascii="Arial" w:eastAsia="Arial" w:hAnsi="Arial" w:cs="Arial"/>
          <w:sz w:val="23"/>
          <w:szCs w:val="23"/>
        </w:rPr>
        <w:t>Mercado de trabajo. Población económicamente activa, población inactiva. Tasa de actividad.</w:t>
      </w:r>
    </w:p>
    <w:p w:rsidR="00FD3228" w:rsidRDefault="00FD3228" w:rsidP="00FD3228">
      <w:pPr>
        <w:spacing w:line="1" w:lineRule="exact"/>
        <w:rPr>
          <w:sz w:val="20"/>
          <w:szCs w:val="20"/>
        </w:rPr>
      </w:pPr>
    </w:p>
    <w:p w:rsidR="00FD3228" w:rsidRDefault="00FD3228" w:rsidP="00FD3228">
      <w:pPr>
        <w:spacing w:line="231" w:lineRule="auto"/>
        <w:ind w:left="260"/>
        <w:jc w:val="both"/>
        <w:rPr>
          <w:sz w:val="20"/>
          <w:szCs w:val="20"/>
        </w:rPr>
      </w:pPr>
      <w:r>
        <w:rPr>
          <w:rFonts w:ascii="Arial" w:eastAsia="Arial" w:hAnsi="Arial" w:cs="Arial"/>
          <w:sz w:val="23"/>
          <w:szCs w:val="23"/>
        </w:rPr>
        <w:t>Indicadores centrales de análisis. Sistemas de información estadística sobre el mercado de trabajo en la Argentina: Censos de población. Encuestas de hogares. Encuestas de condiciones de vida.</w:t>
      </w:r>
    </w:p>
    <w:p w:rsidR="00FD3228" w:rsidRDefault="00FD3228" w:rsidP="00FD3228">
      <w:pPr>
        <w:spacing w:line="1" w:lineRule="exact"/>
        <w:rPr>
          <w:sz w:val="20"/>
          <w:szCs w:val="20"/>
        </w:rPr>
      </w:pPr>
    </w:p>
    <w:p w:rsidR="00FD3228" w:rsidRDefault="00FD3228" w:rsidP="00FD3228">
      <w:pPr>
        <w:spacing w:line="226" w:lineRule="auto"/>
        <w:ind w:left="260"/>
        <w:jc w:val="both"/>
        <w:rPr>
          <w:sz w:val="20"/>
          <w:szCs w:val="20"/>
        </w:rPr>
      </w:pPr>
      <w:r>
        <w:rPr>
          <w:rFonts w:ascii="Arial" w:eastAsia="Arial" w:hAnsi="Arial" w:cs="Arial"/>
          <w:sz w:val="23"/>
          <w:szCs w:val="23"/>
        </w:rPr>
        <w:t>Características de la condición de actividad: trabajo bajo relación salarial y bajo formas no asalariadas. Tasa de empleo. Subempleo, desempleo o desocupación. Tasa de desocupación.</w:t>
      </w:r>
    </w:p>
    <w:p w:rsidR="00FD3228" w:rsidRDefault="00FD3228" w:rsidP="00FD3228">
      <w:pPr>
        <w:spacing w:line="3" w:lineRule="exact"/>
        <w:rPr>
          <w:sz w:val="20"/>
          <w:szCs w:val="20"/>
        </w:rPr>
      </w:pPr>
    </w:p>
    <w:p w:rsidR="00FD3228" w:rsidRDefault="00FD3228" w:rsidP="00FD3228">
      <w:pPr>
        <w:spacing w:line="231" w:lineRule="auto"/>
        <w:ind w:left="260"/>
        <w:jc w:val="both"/>
        <w:rPr>
          <w:sz w:val="20"/>
          <w:szCs w:val="20"/>
        </w:rPr>
      </w:pPr>
      <w:r>
        <w:rPr>
          <w:rFonts w:ascii="Arial" w:eastAsia="Arial" w:hAnsi="Arial" w:cs="Arial"/>
          <w:sz w:val="23"/>
          <w:szCs w:val="23"/>
        </w:rPr>
        <w:t>Composición de la población en relación con el empleo: trabajador asalariado (por tiempo indeterminado, eventual, a tiempo parcial; formal e informal, etc.), empleador, cuentapropista, asociativo, etc. Características cualitativas de la población económicamente activa. Distribución sectorial y composición del empleo.</w:t>
      </w:r>
    </w:p>
    <w:p w:rsidR="00FD3228" w:rsidRDefault="00FD3228" w:rsidP="00FD3228">
      <w:pPr>
        <w:tabs>
          <w:tab w:val="left" w:pos="1180"/>
        </w:tabs>
        <w:spacing w:line="232" w:lineRule="auto"/>
        <w:ind w:left="260"/>
        <w:rPr>
          <w:sz w:val="20"/>
          <w:szCs w:val="20"/>
        </w:rPr>
      </w:pPr>
      <w:r>
        <w:rPr>
          <w:rFonts w:ascii="Arial" w:eastAsia="Arial" w:hAnsi="Arial" w:cs="Arial"/>
          <w:sz w:val="23"/>
          <w:szCs w:val="23"/>
        </w:rPr>
        <w:t>Actores</w:t>
      </w:r>
      <w:r>
        <w:rPr>
          <w:rFonts w:ascii="Arial" w:eastAsia="Arial" w:hAnsi="Arial" w:cs="Arial"/>
          <w:sz w:val="23"/>
          <w:szCs w:val="23"/>
        </w:rPr>
        <w:tab/>
      </w:r>
      <w:proofErr w:type="gramStart"/>
      <w:r>
        <w:rPr>
          <w:rFonts w:ascii="Arial" w:eastAsia="Arial" w:hAnsi="Arial" w:cs="Arial"/>
          <w:sz w:val="23"/>
          <w:szCs w:val="23"/>
        </w:rPr>
        <w:t>del  mercado</w:t>
      </w:r>
      <w:proofErr w:type="gramEnd"/>
      <w:r>
        <w:rPr>
          <w:rFonts w:ascii="Arial" w:eastAsia="Arial" w:hAnsi="Arial" w:cs="Arial"/>
          <w:sz w:val="23"/>
          <w:szCs w:val="23"/>
        </w:rPr>
        <w:t xml:space="preserve">  de  trabajo:  organizaciones  empresarias,  sindicatos,  Estado.</w:t>
      </w:r>
    </w:p>
    <w:p w:rsidR="00FD3228" w:rsidRDefault="00FD3228" w:rsidP="00FD3228">
      <w:pPr>
        <w:spacing w:line="231" w:lineRule="auto"/>
        <w:ind w:left="260"/>
        <w:rPr>
          <w:sz w:val="20"/>
          <w:szCs w:val="20"/>
        </w:rPr>
      </w:pPr>
      <w:r>
        <w:rPr>
          <w:rFonts w:ascii="Arial" w:eastAsia="Arial" w:hAnsi="Arial" w:cs="Arial"/>
          <w:sz w:val="23"/>
          <w:szCs w:val="23"/>
        </w:rPr>
        <w:t>Dimensión social y política de las relaciones entre los actores del trabajo.</w:t>
      </w:r>
    </w:p>
    <w:p w:rsidR="00FD3228" w:rsidRDefault="00FD3228" w:rsidP="00FD3228">
      <w:pPr>
        <w:spacing w:line="218" w:lineRule="auto"/>
        <w:ind w:left="260"/>
        <w:rPr>
          <w:rFonts w:ascii="Arial" w:eastAsia="Arial" w:hAnsi="Arial" w:cs="Arial"/>
          <w:sz w:val="23"/>
          <w:szCs w:val="23"/>
        </w:rPr>
      </w:pPr>
    </w:p>
    <w:p w:rsidR="00FD3228" w:rsidRDefault="00FD3228" w:rsidP="00FD3228">
      <w:pPr>
        <w:spacing w:line="218" w:lineRule="auto"/>
        <w:ind w:left="260"/>
        <w:rPr>
          <w:sz w:val="20"/>
          <w:szCs w:val="20"/>
        </w:rPr>
      </w:pPr>
      <w:r>
        <w:rPr>
          <w:rFonts w:ascii="Arial" w:eastAsia="Arial" w:hAnsi="Arial" w:cs="Arial"/>
          <w:sz w:val="23"/>
          <w:szCs w:val="23"/>
        </w:rPr>
        <w:t>II. DERECHO DEL TRABAJO</w:t>
      </w:r>
    </w:p>
    <w:p w:rsidR="00FD3228" w:rsidRDefault="00FD3228" w:rsidP="00FD3228">
      <w:pPr>
        <w:spacing w:line="1" w:lineRule="exact"/>
        <w:rPr>
          <w:sz w:val="20"/>
          <w:szCs w:val="20"/>
        </w:rPr>
      </w:pPr>
    </w:p>
    <w:p w:rsidR="00FD3228" w:rsidRDefault="00FD3228" w:rsidP="00FD3228">
      <w:pPr>
        <w:spacing w:line="231" w:lineRule="auto"/>
        <w:ind w:left="260"/>
        <w:jc w:val="both"/>
        <w:rPr>
          <w:sz w:val="20"/>
          <w:szCs w:val="20"/>
        </w:rPr>
      </w:pPr>
      <w:r>
        <w:rPr>
          <w:rFonts w:ascii="Arial" w:eastAsia="Arial" w:hAnsi="Arial" w:cs="Arial"/>
          <w:sz w:val="23"/>
          <w:szCs w:val="23"/>
        </w:rPr>
        <w:t>Condiciones generales de trabajo y configuración de la relación salarial: regulaciones laborales; derechos individuales y colectivos. Negociación colectiva, conflictos de trabajo: organización sindical, derecho de huelga y sistema de relaciones laborales. Formas de contratación y empleo: Características del trabajo/empleo precario. El trabajo no registrado y la precarización del empleo.</w:t>
      </w:r>
    </w:p>
    <w:p w:rsidR="00FD3228" w:rsidRDefault="00FD3228" w:rsidP="00FD3228">
      <w:pPr>
        <w:spacing w:line="2" w:lineRule="exact"/>
        <w:rPr>
          <w:sz w:val="20"/>
          <w:szCs w:val="20"/>
        </w:rPr>
      </w:pPr>
    </w:p>
    <w:p w:rsidR="00FD3228" w:rsidRDefault="00FD3228" w:rsidP="00FD3228">
      <w:pPr>
        <w:spacing w:line="227" w:lineRule="auto"/>
        <w:ind w:left="260"/>
        <w:jc w:val="both"/>
        <w:rPr>
          <w:sz w:val="20"/>
          <w:szCs w:val="20"/>
        </w:rPr>
      </w:pPr>
      <w:r>
        <w:rPr>
          <w:rFonts w:ascii="Arial" w:eastAsia="Arial" w:hAnsi="Arial" w:cs="Arial"/>
          <w:sz w:val="23"/>
          <w:szCs w:val="23"/>
        </w:rPr>
        <w:t>Marco legal general de las relaciones entre los sujetos de la relación laboral. Los principios generales protectorios del trabajador, en los ámbitos privado y público, expresados en la Ley 20.744 de Contrato de Trabajo y la Ley 471 de Relaciones Laborales en la Administración Pública de la Ciudad Autónoma de Buenos Aires.</w:t>
      </w:r>
    </w:p>
    <w:p w:rsidR="00FD3228" w:rsidRDefault="00FD3228" w:rsidP="00FD3228">
      <w:pPr>
        <w:spacing w:line="4" w:lineRule="exact"/>
        <w:rPr>
          <w:sz w:val="20"/>
          <w:szCs w:val="20"/>
        </w:rPr>
      </w:pPr>
    </w:p>
    <w:p w:rsidR="00FD3228" w:rsidRDefault="00FD3228" w:rsidP="00FD3228">
      <w:pPr>
        <w:spacing w:line="239" w:lineRule="auto"/>
        <w:ind w:left="260"/>
        <w:rPr>
          <w:rFonts w:ascii="Arial" w:eastAsia="Arial" w:hAnsi="Arial" w:cs="Arial"/>
          <w:sz w:val="23"/>
          <w:szCs w:val="23"/>
        </w:rPr>
      </w:pPr>
      <w:r>
        <w:rPr>
          <w:rFonts w:ascii="Arial" w:eastAsia="Arial" w:hAnsi="Arial" w:cs="Arial"/>
          <w:sz w:val="23"/>
          <w:szCs w:val="23"/>
        </w:rPr>
        <w:t>Normas sobre duración y composición del tiempo de trabajo, jornada laboral y descanso. Las remuneraciones, los servicios y los beneficios sociales. La distribución de tiempo de trabajo, jornada laboral y descanso en los convenios colectivos. La flexibilización del tiempo de trabajo y sus efectos sobre las condiciones de vida de los trabajadores.</w:t>
      </w:r>
    </w:p>
    <w:p w:rsidR="00FD3228" w:rsidRDefault="00FD3228" w:rsidP="00FD3228">
      <w:pPr>
        <w:spacing w:line="239" w:lineRule="auto"/>
        <w:ind w:left="260"/>
        <w:rPr>
          <w:rFonts w:ascii="Arial" w:eastAsia="Arial" w:hAnsi="Arial" w:cs="Arial"/>
          <w:sz w:val="23"/>
          <w:szCs w:val="23"/>
        </w:rPr>
      </w:pPr>
    </w:p>
    <w:p w:rsidR="00FD3228" w:rsidRDefault="00FD3228" w:rsidP="00FD3228">
      <w:pPr>
        <w:spacing w:line="239" w:lineRule="auto"/>
        <w:ind w:left="260"/>
        <w:rPr>
          <w:sz w:val="20"/>
          <w:szCs w:val="20"/>
        </w:rPr>
      </w:pPr>
      <w:r>
        <w:rPr>
          <w:rFonts w:ascii="Arial" w:eastAsia="Arial" w:hAnsi="Arial" w:cs="Arial"/>
          <w:sz w:val="23"/>
          <w:szCs w:val="23"/>
        </w:rPr>
        <w:t>III. TRABAJO, ESTADO Y POLÍTICA SOCIAL Y LABORAL</w:t>
      </w:r>
      <w:bookmarkStart w:id="2" w:name="page120"/>
      <w:bookmarkEnd w:id="2"/>
    </w:p>
    <w:p w:rsidR="00FD3228" w:rsidRDefault="00FD3228" w:rsidP="00FD3228">
      <w:pPr>
        <w:spacing w:line="246" w:lineRule="exact"/>
        <w:rPr>
          <w:sz w:val="20"/>
          <w:szCs w:val="20"/>
        </w:rPr>
      </w:pPr>
    </w:p>
    <w:p w:rsidR="00FD3228" w:rsidRDefault="00FD3228" w:rsidP="00FD3228">
      <w:pPr>
        <w:spacing w:line="231" w:lineRule="auto"/>
        <w:ind w:left="260"/>
        <w:jc w:val="both"/>
        <w:rPr>
          <w:sz w:val="20"/>
          <w:szCs w:val="20"/>
        </w:rPr>
      </w:pPr>
      <w:r>
        <w:rPr>
          <w:rFonts w:ascii="Arial" w:eastAsia="Arial" w:hAnsi="Arial" w:cs="Arial"/>
          <w:sz w:val="23"/>
          <w:szCs w:val="23"/>
        </w:rPr>
        <w:lastRenderedPageBreak/>
        <w:t>La protección del trabajo y del trabajador. Derechos consagrados en la Constitución de la Nación Argentina y en la Constitución de la Ciudad Autónoma de Buenos Aires.</w:t>
      </w:r>
    </w:p>
    <w:p w:rsidR="00FD3228" w:rsidRDefault="00FD3228" w:rsidP="00FD3228">
      <w:pPr>
        <w:spacing w:line="1" w:lineRule="exact"/>
        <w:rPr>
          <w:sz w:val="20"/>
          <w:szCs w:val="20"/>
        </w:rPr>
      </w:pPr>
    </w:p>
    <w:p w:rsidR="00FD3228" w:rsidRDefault="00FD3228" w:rsidP="00FD3228">
      <w:pPr>
        <w:spacing w:line="224" w:lineRule="auto"/>
        <w:ind w:left="260" w:right="20"/>
        <w:jc w:val="both"/>
        <w:rPr>
          <w:sz w:val="20"/>
          <w:szCs w:val="20"/>
        </w:rPr>
      </w:pPr>
      <w:r>
        <w:rPr>
          <w:rFonts w:ascii="Arial" w:eastAsia="Arial" w:hAnsi="Arial" w:cs="Arial"/>
          <w:sz w:val="23"/>
          <w:szCs w:val="23"/>
        </w:rPr>
        <w:t>Rol y modos de intervención social del Estado: el derecho del trabajo, las relaciones laborales y el sistema de protección social en la Argentina.</w:t>
      </w:r>
    </w:p>
    <w:p w:rsidR="00FD3228" w:rsidRDefault="00FD3228" w:rsidP="00FD3228">
      <w:pPr>
        <w:spacing w:line="232" w:lineRule="auto"/>
        <w:ind w:left="260"/>
        <w:rPr>
          <w:sz w:val="20"/>
          <w:szCs w:val="20"/>
        </w:rPr>
      </w:pPr>
      <w:r>
        <w:rPr>
          <w:rFonts w:ascii="Arial" w:eastAsia="Arial" w:hAnsi="Arial" w:cs="Arial"/>
          <w:sz w:val="23"/>
          <w:szCs w:val="23"/>
        </w:rPr>
        <w:t>Asistencialismo, corporativismo y universalismo en la intervención social del Estado.</w:t>
      </w:r>
    </w:p>
    <w:p w:rsidR="00FD3228" w:rsidRDefault="00FD3228" w:rsidP="00FD3228">
      <w:pPr>
        <w:spacing w:line="231" w:lineRule="auto"/>
        <w:ind w:left="260"/>
        <w:rPr>
          <w:sz w:val="20"/>
          <w:szCs w:val="20"/>
        </w:rPr>
      </w:pPr>
      <w:r>
        <w:rPr>
          <w:rFonts w:ascii="Arial" w:eastAsia="Arial" w:hAnsi="Arial" w:cs="Arial"/>
          <w:sz w:val="23"/>
          <w:szCs w:val="23"/>
        </w:rPr>
        <w:t>Modalidades de vinculación entre trabajo, derechos y ciudadanía.</w:t>
      </w:r>
    </w:p>
    <w:p w:rsidR="00FD3228" w:rsidRDefault="00FD3228" w:rsidP="00FD3228">
      <w:pPr>
        <w:spacing w:line="232" w:lineRule="auto"/>
        <w:ind w:left="260"/>
        <w:rPr>
          <w:sz w:val="20"/>
          <w:szCs w:val="20"/>
        </w:rPr>
      </w:pPr>
      <w:r>
        <w:rPr>
          <w:rFonts w:ascii="Arial" w:eastAsia="Arial" w:hAnsi="Arial" w:cs="Arial"/>
          <w:sz w:val="23"/>
          <w:szCs w:val="23"/>
        </w:rPr>
        <w:t>Salario directo, indirecto y diferido.</w:t>
      </w:r>
    </w:p>
    <w:p w:rsidR="00FD3228" w:rsidRDefault="00FD3228" w:rsidP="00FD3228">
      <w:pPr>
        <w:spacing w:line="253" w:lineRule="auto"/>
        <w:ind w:left="260" w:right="20"/>
        <w:jc w:val="both"/>
        <w:rPr>
          <w:sz w:val="20"/>
          <w:szCs w:val="20"/>
        </w:rPr>
      </w:pPr>
      <w:r>
        <w:rPr>
          <w:rFonts w:ascii="Arial" w:eastAsia="Arial" w:hAnsi="Arial" w:cs="Arial"/>
          <w:sz w:val="21"/>
          <w:szCs w:val="21"/>
        </w:rPr>
        <w:t>El salario directo. Políticas laborales. Su impacto en la distribución de poder y derechos entre capital y trabajo, y sobre el mercado de trabajo. El salario mínimo, vital y móvil.</w:t>
      </w:r>
    </w:p>
    <w:p w:rsidR="00FD3228" w:rsidRDefault="00FD3228" w:rsidP="00FD3228">
      <w:pPr>
        <w:spacing w:line="1" w:lineRule="exact"/>
        <w:rPr>
          <w:sz w:val="20"/>
          <w:szCs w:val="20"/>
        </w:rPr>
      </w:pPr>
    </w:p>
    <w:p w:rsidR="00FD3228" w:rsidRDefault="00FD3228" w:rsidP="00FD3228">
      <w:pPr>
        <w:spacing w:line="227" w:lineRule="auto"/>
        <w:ind w:left="260"/>
        <w:jc w:val="both"/>
        <w:rPr>
          <w:sz w:val="20"/>
          <w:szCs w:val="20"/>
        </w:rPr>
      </w:pPr>
      <w:r>
        <w:rPr>
          <w:rFonts w:ascii="Arial" w:eastAsia="Arial" w:hAnsi="Arial" w:cs="Arial"/>
          <w:sz w:val="23"/>
          <w:szCs w:val="23"/>
        </w:rPr>
        <w:t>El salario indirecto. Políticas sociales y redistribución del producto social a través de la provisión pública de bienes y servicios. Impacto en las condiciones de vida de la población y sobre el mercado de trabajo. Focalización y universalidad en la redistribución del producto social. Los sectores de educación y salud.</w:t>
      </w:r>
    </w:p>
    <w:p w:rsidR="00FD3228" w:rsidRDefault="00FD3228" w:rsidP="00FD3228">
      <w:pPr>
        <w:spacing w:line="4" w:lineRule="exact"/>
        <w:rPr>
          <w:sz w:val="20"/>
          <w:szCs w:val="20"/>
        </w:rPr>
      </w:pPr>
    </w:p>
    <w:p w:rsidR="00FD3228" w:rsidRDefault="00FD3228" w:rsidP="00FD3228">
      <w:pPr>
        <w:spacing w:line="262" w:lineRule="auto"/>
        <w:ind w:left="260"/>
        <w:jc w:val="both"/>
        <w:rPr>
          <w:sz w:val="20"/>
          <w:szCs w:val="20"/>
        </w:rPr>
      </w:pPr>
      <w:r>
        <w:rPr>
          <w:rFonts w:ascii="Arial" w:eastAsia="Arial" w:hAnsi="Arial" w:cs="Arial"/>
          <w:sz w:val="23"/>
          <w:szCs w:val="23"/>
        </w:rPr>
        <w:t>El salario diferido. Políticas y regímenes de la seguridad social. Pautas de distribución y composición de los aportes a la seguridad social entre capital y trabajo.</w:t>
      </w:r>
    </w:p>
    <w:p w:rsidR="00FD3228" w:rsidRDefault="00FD3228" w:rsidP="00FD3228">
      <w:pPr>
        <w:spacing w:line="172" w:lineRule="exact"/>
        <w:rPr>
          <w:sz w:val="20"/>
          <w:szCs w:val="20"/>
        </w:rPr>
      </w:pPr>
    </w:p>
    <w:p w:rsidR="00FD3228" w:rsidRDefault="00FD3228" w:rsidP="00FD3228">
      <w:pPr>
        <w:ind w:left="260"/>
        <w:rPr>
          <w:sz w:val="20"/>
          <w:szCs w:val="20"/>
        </w:rPr>
      </w:pPr>
      <w:r>
        <w:rPr>
          <w:rFonts w:ascii="Arial" w:eastAsia="Arial" w:hAnsi="Arial" w:cs="Arial"/>
          <w:b/>
          <w:bCs/>
          <w:sz w:val="23"/>
          <w:szCs w:val="23"/>
        </w:rPr>
        <w:t>Alcances y comentarios</w:t>
      </w:r>
    </w:p>
    <w:p w:rsidR="00FD3228" w:rsidRDefault="00FD3228" w:rsidP="00FD3228">
      <w:pPr>
        <w:spacing w:line="6" w:lineRule="exact"/>
        <w:rPr>
          <w:sz w:val="20"/>
          <w:szCs w:val="20"/>
        </w:rPr>
      </w:pPr>
    </w:p>
    <w:p w:rsidR="00FD3228" w:rsidRDefault="00FD3228" w:rsidP="00FD3228">
      <w:pPr>
        <w:spacing w:line="229" w:lineRule="auto"/>
        <w:ind w:left="260"/>
        <w:jc w:val="both"/>
        <w:rPr>
          <w:sz w:val="20"/>
          <w:szCs w:val="20"/>
        </w:rPr>
      </w:pPr>
      <w:r>
        <w:rPr>
          <w:rFonts w:ascii="Arial" w:eastAsia="Arial" w:hAnsi="Arial" w:cs="Arial"/>
          <w:sz w:val="23"/>
          <w:szCs w:val="23"/>
        </w:rPr>
        <w:t>Se considera conveniente abordar la historia del trabajo y su evolución, abordar las normativas laborales, como contención al orden legal constitucional y la legitimidad como el acuerdo y consenso de los miembros de una comunidad. Se sugiere el análisis de la relación entre la legalidad y la legitimidad, y los factores de poder que intervienen en la relación laboral (el poder económico y el financiero, los medios de comunicación, etc.), y el problema de la pérdida de la legitimidad con la relación laboral no registrada. El estado de derecho se presenta como el que se funda en el respeto de los derechos de los ciudadanos y por lo tanto la legislación del trabajo es parte muy importante en la vida del ciudadano. Puede trabajarse esta idea contraponiéndola con el concepto de trabajo precario, o analizando las concepciones del Estado como poder absoluto, como guardia de los derechos de la clase trabajadora, y el poder como garante y promotor de los derechos humanos.</w:t>
      </w:r>
    </w:p>
    <w:p w:rsidR="00FD3228" w:rsidRDefault="00FD3228" w:rsidP="00FD3228">
      <w:pPr>
        <w:spacing w:line="1" w:lineRule="exact"/>
        <w:rPr>
          <w:sz w:val="20"/>
          <w:szCs w:val="20"/>
        </w:rPr>
      </w:pPr>
    </w:p>
    <w:p w:rsidR="00FD3228" w:rsidRDefault="00FD3228" w:rsidP="00FD3228">
      <w:pPr>
        <w:spacing w:line="235" w:lineRule="auto"/>
        <w:ind w:left="260"/>
        <w:jc w:val="both"/>
        <w:rPr>
          <w:sz w:val="20"/>
          <w:szCs w:val="20"/>
        </w:rPr>
      </w:pPr>
      <w:r>
        <w:rPr>
          <w:rFonts w:ascii="Arial" w:eastAsia="Arial" w:hAnsi="Arial" w:cs="Arial"/>
          <w:sz w:val="23"/>
          <w:szCs w:val="23"/>
        </w:rPr>
        <w:t>Se propone estudiar la relación entre el empleador y el trabajador. Se propone analizar distintos roles de asociación: las organizaciones de base, las asociaciones mutuales, sindicales y profesionales, las cooperativas y las corporaciones empresarias, el movimiento obrero y sindical y los trabajos comunitarios. Especial atención merecen las asociaciones civiles, las organizaciones de ampliación de derechos durante la democracia, asociaciones feministas y de mujeres, ambientalistas y de autogestión de la vivienda y la industria; como motor socio productivo de la economía.</w:t>
      </w:r>
    </w:p>
    <w:p w:rsidR="00FD3228" w:rsidRDefault="00FD3228" w:rsidP="00FD3228">
      <w:pPr>
        <w:spacing w:line="196" w:lineRule="exact"/>
        <w:rPr>
          <w:sz w:val="20"/>
          <w:szCs w:val="20"/>
        </w:rPr>
      </w:pPr>
    </w:p>
    <w:p w:rsidR="00FD3228" w:rsidRDefault="00FD3228" w:rsidP="00FD3228">
      <w:pPr>
        <w:ind w:left="260"/>
        <w:rPr>
          <w:sz w:val="20"/>
          <w:szCs w:val="20"/>
        </w:rPr>
      </w:pPr>
      <w:r>
        <w:rPr>
          <w:rFonts w:ascii="Arial" w:eastAsia="Arial" w:hAnsi="Arial" w:cs="Arial"/>
          <w:b/>
          <w:bCs/>
          <w:sz w:val="23"/>
          <w:szCs w:val="23"/>
        </w:rPr>
        <w:t>5.-Objetivos GENERALES:</w:t>
      </w:r>
    </w:p>
    <w:p w:rsidR="00FD3228" w:rsidRDefault="00FD3228" w:rsidP="00FD3228">
      <w:pPr>
        <w:spacing w:line="21" w:lineRule="exact"/>
        <w:rPr>
          <w:sz w:val="20"/>
          <w:szCs w:val="20"/>
        </w:rPr>
      </w:pPr>
    </w:p>
    <w:p w:rsidR="00FD3228" w:rsidRDefault="00FD3228" w:rsidP="00FD3228">
      <w:pPr>
        <w:numPr>
          <w:ilvl w:val="0"/>
          <w:numId w:val="5"/>
        </w:numPr>
        <w:tabs>
          <w:tab w:val="left" w:pos="1340"/>
        </w:tabs>
        <w:spacing w:line="238" w:lineRule="auto"/>
        <w:ind w:left="1340" w:right="20" w:hanging="365"/>
        <w:rPr>
          <w:rFonts w:ascii="Arial" w:eastAsia="Arial" w:hAnsi="Arial" w:cs="Arial"/>
          <w:sz w:val="23"/>
          <w:szCs w:val="23"/>
        </w:rPr>
      </w:pPr>
      <w:r>
        <w:rPr>
          <w:rFonts w:ascii="Arial" w:eastAsia="Arial" w:hAnsi="Arial" w:cs="Arial"/>
          <w:sz w:val="23"/>
          <w:szCs w:val="23"/>
        </w:rPr>
        <w:t>Proporcionar los conocimientos básicos sobre “ciudadano” y “el trabajo” en sus orígenes, formas y desarrollo actual,</w:t>
      </w:r>
    </w:p>
    <w:p w:rsidR="00FD3228" w:rsidRDefault="00FD3228" w:rsidP="00FD3228">
      <w:pPr>
        <w:numPr>
          <w:ilvl w:val="0"/>
          <w:numId w:val="5"/>
        </w:numPr>
        <w:tabs>
          <w:tab w:val="left" w:pos="1340"/>
        </w:tabs>
        <w:spacing w:line="231" w:lineRule="auto"/>
        <w:ind w:left="1340" w:hanging="365"/>
        <w:rPr>
          <w:rFonts w:ascii="Arial" w:eastAsia="Arial" w:hAnsi="Arial" w:cs="Arial"/>
          <w:sz w:val="23"/>
          <w:szCs w:val="23"/>
        </w:rPr>
      </w:pPr>
      <w:r>
        <w:rPr>
          <w:rFonts w:ascii="Arial" w:eastAsia="Arial" w:hAnsi="Arial" w:cs="Arial"/>
          <w:sz w:val="23"/>
          <w:szCs w:val="23"/>
        </w:rPr>
        <w:t>Promover el conocimiento teórico de la legislación vigente sobre responsabilidad ciudadana y el derecho al trabajo digno.</w:t>
      </w:r>
    </w:p>
    <w:p w:rsidR="00FD3228" w:rsidRDefault="00FD3228" w:rsidP="00FD3228">
      <w:pPr>
        <w:numPr>
          <w:ilvl w:val="0"/>
          <w:numId w:val="5"/>
        </w:numPr>
        <w:tabs>
          <w:tab w:val="left" w:pos="1340"/>
        </w:tabs>
        <w:spacing w:line="238" w:lineRule="auto"/>
        <w:ind w:left="1340" w:hanging="365"/>
        <w:rPr>
          <w:rFonts w:ascii="Arial" w:eastAsia="Arial" w:hAnsi="Arial" w:cs="Arial"/>
          <w:sz w:val="23"/>
          <w:szCs w:val="23"/>
        </w:rPr>
      </w:pPr>
      <w:r>
        <w:rPr>
          <w:rFonts w:ascii="Arial" w:eastAsia="Arial" w:hAnsi="Arial" w:cs="Arial"/>
          <w:sz w:val="23"/>
          <w:szCs w:val="23"/>
        </w:rPr>
        <w:t>Concientizar sobre la importancia de la participación organizada de la ciudadanía en el campo laboral formal y contributivo.</w:t>
      </w:r>
    </w:p>
    <w:p w:rsidR="00FD3228" w:rsidRPr="00FD3228" w:rsidRDefault="00FD3228" w:rsidP="00FD3228">
      <w:pPr>
        <w:numPr>
          <w:ilvl w:val="0"/>
          <w:numId w:val="5"/>
        </w:numPr>
        <w:tabs>
          <w:tab w:val="left" w:pos="1340"/>
        </w:tabs>
        <w:spacing w:line="281" w:lineRule="auto"/>
        <w:ind w:left="1340" w:hanging="365"/>
        <w:jc w:val="both"/>
        <w:rPr>
          <w:rFonts w:ascii="Arial" w:eastAsia="Arial" w:hAnsi="Arial" w:cs="Arial"/>
          <w:sz w:val="21"/>
          <w:szCs w:val="21"/>
        </w:rPr>
      </w:pPr>
      <w:r>
        <w:rPr>
          <w:rFonts w:ascii="Arial" w:eastAsia="Arial" w:hAnsi="Arial" w:cs="Arial"/>
          <w:sz w:val="21"/>
          <w:szCs w:val="21"/>
        </w:rPr>
        <w:t>Proporcionar y promover las herramientas para la interpretación y reflexión sobre la dinámica del trabajo y la cultura del trabajo, conociendo los instrumentos constitucionales que defienden y promueven la realización de los</w:t>
      </w:r>
      <w:bookmarkStart w:id="3" w:name="page121"/>
      <w:bookmarkEnd w:id="3"/>
      <w:r>
        <w:rPr>
          <w:rFonts w:ascii="Arial" w:eastAsia="Arial" w:hAnsi="Arial" w:cs="Arial"/>
          <w:sz w:val="21"/>
          <w:szCs w:val="21"/>
        </w:rPr>
        <w:t xml:space="preserve"> </w:t>
      </w:r>
      <w:r w:rsidRPr="00FD3228">
        <w:rPr>
          <w:rFonts w:ascii="Arial" w:eastAsia="Arial" w:hAnsi="Arial" w:cs="Arial"/>
          <w:sz w:val="23"/>
          <w:szCs w:val="23"/>
        </w:rPr>
        <w:t>derechos laborales, tanto a nivel nacional como desde las Organizaciones que se han creado en la comunidad internacional.</w:t>
      </w:r>
    </w:p>
    <w:p w:rsidR="00FD3228" w:rsidRDefault="00FD3228" w:rsidP="00FD3228">
      <w:pPr>
        <w:spacing w:line="163" w:lineRule="exact"/>
        <w:rPr>
          <w:sz w:val="20"/>
          <w:szCs w:val="20"/>
        </w:rPr>
      </w:pPr>
    </w:p>
    <w:p w:rsidR="00FD3228" w:rsidRDefault="00FD3228" w:rsidP="00FD3228">
      <w:pPr>
        <w:ind w:left="260"/>
        <w:rPr>
          <w:sz w:val="20"/>
          <w:szCs w:val="20"/>
        </w:rPr>
      </w:pPr>
      <w:r>
        <w:rPr>
          <w:rFonts w:ascii="Arial" w:eastAsia="Arial" w:hAnsi="Arial" w:cs="Arial"/>
          <w:b/>
          <w:bCs/>
          <w:sz w:val="23"/>
          <w:szCs w:val="23"/>
        </w:rPr>
        <w:t>6.-Entorno de aprendizaje y recursos didácticos</w:t>
      </w:r>
    </w:p>
    <w:p w:rsidR="00FD3228" w:rsidRDefault="00FD3228" w:rsidP="00FD3228">
      <w:pPr>
        <w:spacing w:line="234" w:lineRule="auto"/>
        <w:ind w:left="260"/>
        <w:jc w:val="both"/>
        <w:rPr>
          <w:sz w:val="20"/>
          <w:szCs w:val="20"/>
        </w:rPr>
      </w:pPr>
      <w:r>
        <w:rPr>
          <w:rFonts w:ascii="Arial" w:eastAsia="Arial" w:hAnsi="Arial" w:cs="Arial"/>
          <w:sz w:val="23"/>
          <w:szCs w:val="23"/>
        </w:rPr>
        <w:t>La institución escolar en su dimensión espacial y temporal es una matriz de aprendizaje que involucra de diversa manera de trabajo socio-productivo. Se privilegia el trabajo en el aula y se sugiere la apropiación de las herramientas informáticas y tecnológicas con que cuenta la escuela. Buscar y seleccionar información en Internet, identificando la pertinencia, la procedencia, las fuentes, la confiabilidad, y el contexto de producción. Seleccionar y utilizar la Tecnología de la información y la Comunicación TIC más apropiadas para producir, organizar y sistematizar información en distintos formatos como textos, representaciones gráficas, producciones audiovisuales, etc.</w:t>
      </w:r>
    </w:p>
    <w:p w:rsidR="00FD3228" w:rsidRDefault="00FD3228" w:rsidP="00FD3228">
      <w:pPr>
        <w:spacing w:line="201" w:lineRule="exact"/>
        <w:rPr>
          <w:sz w:val="20"/>
          <w:szCs w:val="20"/>
        </w:rPr>
      </w:pPr>
    </w:p>
    <w:p w:rsidR="00FD3228" w:rsidRDefault="00FD3228" w:rsidP="00FD3228">
      <w:pPr>
        <w:ind w:left="260"/>
        <w:rPr>
          <w:sz w:val="20"/>
          <w:szCs w:val="20"/>
        </w:rPr>
      </w:pPr>
      <w:r>
        <w:rPr>
          <w:rFonts w:ascii="Arial" w:eastAsia="Arial" w:hAnsi="Arial" w:cs="Arial"/>
          <w:b/>
          <w:bCs/>
          <w:sz w:val="23"/>
          <w:szCs w:val="23"/>
        </w:rPr>
        <w:t>7.- Ejercitación, trabajos prácticos y actividades</w:t>
      </w:r>
    </w:p>
    <w:p w:rsidR="00FD3228" w:rsidRDefault="00FD3228" w:rsidP="00FD3228">
      <w:pPr>
        <w:spacing w:line="6" w:lineRule="exact"/>
        <w:rPr>
          <w:sz w:val="20"/>
          <w:szCs w:val="20"/>
        </w:rPr>
      </w:pPr>
    </w:p>
    <w:p w:rsidR="00FD3228" w:rsidRDefault="00FD3228" w:rsidP="00FD3228">
      <w:pPr>
        <w:spacing w:line="258" w:lineRule="auto"/>
        <w:ind w:left="260"/>
        <w:jc w:val="both"/>
        <w:rPr>
          <w:sz w:val="20"/>
          <w:szCs w:val="20"/>
        </w:rPr>
      </w:pPr>
      <w:r>
        <w:rPr>
          <w:rFonts w:ascii="Arial" w:eastAsia="Arial" w:hAnsi="Arial" w:cs="Arial"/>
          <w:sz w:val="21"/>
          <w:szCs w:val="21"/>
        </w:rPr>
        <w:t>Adquisición de conocimientos esenciales. Capacidad para comparar, deducir y relacionar conocimientos. Capacidad para extraer conclusiones. Puntualidad en la entrega de los trabajos prácticos. Lectura e interpretación de fuentes primarias: Son testimonios de “primera mano”, cercanos o contemporáneos a los hechos y procesos que se quieren estudiar. En cambio, las fuentes secundarias son testimonios de “segunda mano”, es decir, los trabajos elaborados por los científicos sociales a partir del análisis de fuentes primarias. La observación y el registro: Se trata de procedimientos que permiten obtener información acerca de algún fenómeno o hecho y por lo tanto constituyen otro modo de analizar las distintas dimensiones de la realidad. Analizar el caso argentino, es una buena práctica de tomar distintos estadios de ciudadanía y trabajo.</w:t>
      </w:r>
    </w:p>
    <w:p w:rsidR="00FD3228" w:rsidRDefault="00FD3228" w:rsidP="00FD3228">
      <w:pPr>
        <w:spacing w:line="200" w:lineRule="exact"/>
        <w:rPr>
          <w:sz w:val="20"/>
          <w:szCs w:val="20"/>
        </w:rPr>
      </w:pPr>
    </w:p>
    <w:p w:rsidR="00FD3228" w:rsidRDefault="00FD3228" w:rsidP="00FD3228">
      <w:pPr>
        <w:spacing w:line="229" w:lineRule="exact"/>
        <w:rPr>
          <w:sz w:val="20"/>
          <w:szCs w:val="20"/>
        </w:rPr>
      </w:pPr>
    </w:p>
    <w:p w:rsidR="00FD3228" w:rsidRDefault="00FD3228" w:rsidP="00FD3228">
      <w:pPr>
        <w:ind w:left="260"/>
        <w:rPr>
          <w:sz w:val="20"/>
          <w:szCs w:val="20"/>
        </w:rPr>
      </w:pPr>
      <w:r>
        <w:rPr>
          <w:rFonts w:ascii="Arial" w:eastAsia="Arial" w:hAnsi="Arial" w:cs="Arial"/>
          <w:b/>
          <w:bCs/>
          <w:sz w:val="23"/>
          <w:szCs w:val="23"/>
        </w:rPr>
        <w:t>8.-Evaluación</w:t>
      </w:r>
    </w:p>
    <w:p w:rsidR="00CF1771" w:rsidRPr="00FD3228" w:rsidRDefault="00FD3228" w:rsidP="00FD3228">
      <w:pPr>
        <w:spacing w:line="267" w:lineRule="auto"/>
        <w:ind w:left="260"/>
        <w:jc w:val="both"/>
        <w:rPr>
          <w:sz w:val="20"/>
          <w:szCs w:val="20"/>
        </w:rPr>
      </w:pPr>
      <w:r>
        <w:rPr>
          <w:rFonts w:ascii="Arial" w:eastAsia="Arial" w:hAnsi="Arial" w:cs="Arial"/>
          <w:sz w:val="21"/>
          <w:szCs w:val="21"/>
        </w:rPr>
        <w:t>Se sugiere una evaluación: Participativa y Formativa: que ayude al proceso integral de aprendizaje. Continua y sistemática: es permanente y observa el desempeño en la actividad diaria según un plan y criterios de evaluación predeterminados y de conocimiento pleno del alumno. Integradora: comprende lo conceptual, actitudinal y procedimental. Orientadora: que sirva de guía y consejera tanto para el alumno como del propio profesor.</w:t>
      </w:r>
      <w:bookmarkStart w:id="4" w:name="_GoBack"/>
      <w:bookmarkEnd w:id="4"/>
    </w:p>
    <w:sectPr w:rsidR="00CF1771" w:rsidRPr="00FD32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17E33"/>
    <w:multiLevelType w:val="hybridMultilevel"/>
    <w:tmpl w:val="420C57CA"/>
    <w:lvl w:ilvl="0" w:tplc="6FDE2B1A">
      <w:start w:val="1"/>
      <w:numFmt w:val="bullet"/>
      <w:lvlText w:val="•"/>
      <w:lvlJc w:val="left"/>
    </w:lvl>
    <w:lvl w:ilvl="1" w:tplc="E2DA4AEE">
      <w:numFmt w:val="decimal"/>
      <w:lvlText w:val=""/>
      <w:lvlJc w:val="left"/>
    </w:lvl>
    <w:lvl w:ilvl="2" w:tplc="2544F08A">
      <w:numFmt w:val="decimal"/>
      <w:lvlText w:val=""/>
      <w:lvlJc w:val="left"/>
    </w:lvl>
    <w:lvl w:ilvl="3" w:tplc="7A627FB8">
      <w:numFmt w:val="decimal"/>
      <w:lvlText w:val=""/>
      <w:lvlJc w:val="left"/>
    </w:lvl>
    <w:lvl w:ilvl="4" w:tplc="2D7C5710">
      <w:numFmt w:val="decimal"/>
      <w:lvlText w:val=""/>
      <w:lvlJc w:val="left"/>
    </w:lvl>
    <w:lvl w:ilvl="5" w:tplc="5ACCC678">
      <w:numFmt w:val="decimal"/>
      <w:lvlText w:val=""/>
      <w:lvlJc w:val="left"/>
    </w:lvl>
    <w:lvl w:ilvl="6" w:tplc="94C0FC66">
      <w:numFmt w:val="decimal"/>
      <w:lvlText w:val=""/>
      <w:lvlJc w:val="left"/>
    </w:lvl>
    <w:lvl w:ilvl="7" w:tplc="81229E26">
      <w:numFmt w:val="decimal"/>
      <w:lvlText w:val=""/>
      <w:lvlJc w:val="left"/>
    </w:lvl>
    <w:lvl w:ilvl="8" w:tplc="B988346A">
      <w:numFmt w:val="decimal"/>
      <w:lvlText w:val=""/>
      <w:lvlJc w:val="left"/>
    </w:lvl>
  </w:abstractNum>
  <w:abstractNum w:abstractNumId="1" w15:restartNumberingAfterBreak="0">
    <w:nsid w:val="2DF6D648"/>
    <w:multiLevelType w:val="hybridMultilevel"/>
    <w:tmpl w:val="CCA8CF42"/>
    <w:lvl w:ilvl="0" w:tplc="B7863B90">
      <w:start w:val="1"/>
      <w:numFmt w:val="bullet"/>
      <w:lvlText w:val="•"/>
      <w:lvlJc w:val="left"/>
    </w:lvl>
    <w:lvl w:ilvl="1" w:tplc="61DA4290">
      <w:numFmt w:val="decimal"/>
      <w:lvlText w:val=""/>
      <w:lvlJc w:val="left"/>
    </w:lvl>
    <w:lvl w:ilvl="2" w:tplc="149AA9F2">
      <w:numFmt w:val="decimal"/>
      <w:lvlText w:val=""/>
      <w:lvlJc w:val="left"/>
    </w:lvl>
    <w:lvl w:ilvl="3" w:tplc="34E220A0">
      <w:numFmt w:val="decimal"/>
      <w:lvlText w:val=""/>
      <w:lvlJc w:val="left"/>
    </w:lvl>
    <w:lvl w:ilvl="4" w:tplc="0CC2AA70">
      <w:numFmt w:val="decimal"/>
      <w:lvlText w:val=""/>
      <w:lvlJc w:val="left"/>
    </w:lvl>
    <w:lvl w:ilvl="5" w:tplc="F7F654BC">
      <w:numFmt w:val="decimal"/>
      <w:lvlText w:val=""/>
      <w:lvlJc w:val="left"/>
    </w:lvl>
    <w:lvl w:ilvl="6" w:tplc="1578E3E0">
      <w:numFmt w:val="decimal"/>
      <w:lvlText w:val=""/>
      <w:lvlJc w:val="left"/>
    </w:lvl>
    <w:lvl w:ilvl="7" w:tplc="B99072E2">
      <w:numFmt w:val="decimal"/>
      <w:lvlText w:val=""/>
      <w:lvlJc w:val="left"/>
    </w:lvl>
    <w:lvl w:ilvl="8" w:tplc="DAFA30A0">
      <w:numFmt w:val="decimal"/>
      <w:lvlText w:val=""/>
      <w:lvlJc w:val="left"/>
    </w:lvl>
  </w:abstractNum>
  <w:abstractNum w:abstractNumId="2" w15:restartNumberingAfterBreak="0">
    <w:nsid w:val="3222E7CD"/>
    <w:multiLevelType w:val="hybridMultilevel"/>
    <w:tmpl w:val="50240AC4"/>
    <w:lvl w:ilvl="0" w:tplc="83AE4744">
      <w:start w:val="9"/>
      <w:numFmt w:val="upperLetter"/>
      <w:lvlText w:val="%1."/>
      <w:lvlJc w:val="left"/>
    </w:lvl>
    <w:lvl w:ilvl="1" w:tplc="5F3044BA">
      <w:numFmt w:val="decimal"/>
      <w:lvlText w:val=""/>
      <w:lvlJc w:val="left"/>
    </w:lvl>
    <w:lvl w:ilvl="2" w:tplc="FBB4B2AC">
      <w:numFmt w:val="decimal"/>
      <w:lvlText w:val=""/>
      <w:lvlJc w:val="left"/>
    </w:lvl>
    <w:lvl w:ilvl="3" w:tplc="1F0A233A">
      <w:numFmt w:val="decimal"/>
      <w:lvlText w:val=""/>
      <w:lvlJc w:val="left"/>
    </w:lvl>
    <w:lvl w:ilvl="4" w:tplc="EBBC38A6">
      <w:numFmt w:val="decimal"/>
      <w:lvlText w:val=""/>
      <w:lvlJc w:val="left"/>
    </w:lvl>
    <w:lvl w:ilvl="5" w:tplc="A7D88112">
      <w:numFmt w:val="decimal"/>
      <w:lvlText w:val=""/>
      <w:lvlJc w:val="left"/>
    </w:lvl>
    <w:lvl w:ilvl="6" w:tplc="F556874A">
      <w:numFmt w:val="decimal"/>
      <w:lvlText w:val=""/>
      <w:lvlJc w:val="left"/>
    </w:lvl>
    <w:lvl w:ilvl="7" w:tplc="8E8034A8">
      <w:numFmt w:val="decimal"/>
      <w:lvlText w:val=""/>
      <w:lvlJc w:val="left"/>
    </w:lvl>
    <w:lvl w:ilvl="8" w:tplc="8562A72E">
      <w:numFmt w:val="decimal"/>
      <w:lvlText w:val=""/>
      <w:lvlJc w:val="left"/>
    </w:lvl>
  </w:abstractNum>
  <w:abstractNum w:abstractNumId="3" w15:restartNumberingAfterBreak="0">
    <w:nsid w:val="68EBC550"/>
    <w:multiLevelType w:val="hybridMultilevel"/>
    <w:tmpl w:val="C99AB096"/>
    <w:lvl w:ilvl="0" w:tplc="0B0A04A8">
      <w:start w:val="1"/>
      <w:numFmt w:val="upperLetter"/>
      <w:lvlText w:val="%1"/>
      <w:lvlJc w:val="left"/>
    </w:lvl>
    <w:lvl w:ilvl="1" w:tplc="E10292F4">
      <w:start w:val="61"/>
      <w:numFmt w:val="upperLetter"/>
      <w:lvlText w:val="%2."/>
      <w:lvlJc w:val="left"/>
    </w:lvl>
    <w:lvl w:ilvl="2" w:tplc="10C84F18">
      <w:numFmt w:val="decimal"/>
      <w:lvlText w:val=""/>
      <w:lvlJc w:val="left"/>
    </w:lvl>
    <w:lvl w:ilvl="3" w:tplc="C0E0F39A">
      <w:numFmt w:val="decimal"/>
      <w:lvlText w:val=""/>
      <w:lvlJc w:val="left"/>
    </w:lvl>
    <w:lvl w:ilvl="4" w:tplc="FE26B4CA">
      <w:numFmt w:val="decimal"/>
      <w:lvlText w:val=""/>
      <w:lvlJc w:val="left"/>
    </w:lvl>
    <w:lvl w:ilvl="5" w:tplc="56B836A4">
      <w:numFmt w:val="decimal"/>
      <w:lvlText w:val=""/>
      <w:lvlJc w:val="left"/>
    </w:lvl>
    <w:lvl w:ilvl="6" w:tplc="ACACC41A">
      <w:numFmt w:val="decimal"/>
      <w:lvlText w:val=""/>
      <w:lvlJc w:val="left"/>
    </w:lvl>
    <w:lvl w:ilvl="7" w:tplc="948A18A0">
      <w:numFmt w:val="decimal"/>
      <w:lvlText w:val=""/>
      <w:lvlJc w:val="left"/>
    </w:lvl>
    <w:lvl w:ilvl="8" w:tplc="27205EEA">
      <w:numFmt w:val="decimal"/>
      <w:lvlText w:val=""/>
      <w:lvlJc w:val="left"/>
    </w:lvl>
  </w:abstractNum>
  <w:abstractNum w:abstractNumId="4" w15:restartNumberingAfterBreak="0">
    <w:nsid w:val="74DE0EE3"/>
    <w:multiLevelType w:val="hybridMultilevel"/>
    <w:tmpl w:val="40B49B20"/>
    <w:lvl w:ilvl="0" w:tplc="8856E54C">
      <w:start w:val="35"/>
      <w:numFmt w:val="upperLetter"/>
      <w:lvlText w:val="%1."/>
      <w:lvlJc w:val="left"/>
    </w:lvl>
    <w:lvl w:ilvl="1" w:tplc="3C38B704">
      <w:numFmt w:val="decimal"/>
      <w:lvlText w:val=""/>
      <w:lvlJc w:val="left"/>
    </w:lvl>
    <w:lvl w:ilvl="2" w:tplc="AF68B770">
      <w:numFmt w:val="decimal"/>
      <w:lvlText w:val=""/>
      <w:lvlJc w:val="left"/>
    </w:lvl>
    <w:lvl w:ilvl="3" w:tplc="E30C0678">
      <w:numFmt w:val="decimal"/>
      <w:lvlText w:val=""/>
      <w:lvlJc w:val="left"/>
    </w:lvl>
    <w:lvl w:ilvl="4" w:tplc="8496E17C">
      <w:numFmt w:val="decimal"/>
      <w:lvlText w:val=""/>
      <w:lvlJc w:val="left"/>
    </w:lvl>
    <w:lvl w:ilvl="5" w:tplc="DC02BE20">
      <w:numFmt w:val="decimal"/>
      <w:lvlText w:val=""/>
      <w:lvlJc w:val="left"/>
    </w:lvl>
    <w:lvl w:ilvl="6" w:tplc="70D8894E">
      <w:numFmt w:val="decimal"/>
      <w:lvlText w:val=""/>
      <w:lvlJc w:val="left"/>
    </w:lvl>
    <w:lvl w:ilvl="7" w:tplc="E8C6A108">
      <w:numFmt w:val="decimal"/>
      <w:lvlText w:val=""/>
      <w:lvlJc w:val="left"/>
    </w:lvl>
    <w:lvl w:ilvl="8" w:tplc="2ACA1054">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28"/>
    <w:rsid w:val="00CF1771"/>
    <w:rsid w:val="00FD32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0081"/>
  <w15:chartTrackingRefBased/>
  <w15:docId w15:val="{0C29EC5F-AE16-4810-AD02-416B2183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228"/>
    <w:pPr>
      <w:spacing w:after="0" w:line="240" w:lineRule="auto"/>
    </w:pPr>
    <w:rPr>
      <w:rFonts w:ascii="Times New Roman" w:eastAsiaTheme="minorEastAsia" w:hAnsi="Times New Roman"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1853</Words>
  <Characters>10196</Characters>
  <Application>Microsoft Office Word</Application>
  <DocSecurity>0</DocSecurity>
  <Lines>84</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Pertine</dc:creator>
  <cp:keywords/>
  <dc:description/>
  <cp:lastModifiedBy>Daniel Pertine</cp:lastModifiedBy>
  <cp:revision>1</cp:revision>
  <dcterms:created xsi:type="dcterms:W3CDTF">2020-07-14T20:08:00Z</dcterms:created>
  <dcterms:modified xsi:type="dcterms:W3CDTF">2020-07-14T20:13:00Z</dcterms:modified>
</cp:coreProperties>
</file>