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4EC3" w:rsidRDefault="000A4EC3" w:rsidP="000A4EC3">
      <w:pPr>
        <w:ind w:left="260"/>
        <w:rPr>
          <w:sz w:val="20"/>
          <w:szCs w:val="20"/>
        </w:rPr>
      </w:pPr>
      <w:r>
        <w:rPr>
          <w:rFonts w:ascii="Arial" w:eastAsia="Arial" w:hAnsi="Arial" w:cs="Arial"/>
          <w:b/>
          <w:bCs/>
          <w:sz w:val="23"/>
          <w:szCs w:val="23"/>
        </w:rPr>
        <w:t>UNIDAD CURRICULAR MATEMÁTICA</w:t>
      </w:r>
    </w:p>
    <w:p w:rsidR="000A4EC3" w:rsidRDefault="000A4EC3" w:rsidP="000A4EC3">
      <w:pPr>
        <w:spacing w:line="96" w:lineRule="exact"/>
        <w:rPr>
          <w:sz w:val="20"/>
          <w:szCs w:val="20"/>
        </w:rPr>
      </w:pPr>
    </w:p>
    <w:p w:rsidR="000A4EC3" w:rsidRDefault="000A4EC3" w:rsidP="000A4EC3">
      <w:pPr>
        <w:ind w:left="260"/>
        <w:rPr>
          <w:rFonts w:ascii="Arial" w:eastAsia="Arial" w:hAnsi="Arial" w:cs="Arial"/>
          <w:sz w:val="16"/>
          <w:szCs w:val="16"/>
        </w:rPr>
      </w:pPr>
      <w:r>
        <w:rPr>
          <w:rFonts w:ascii="Arial" w:eastAsia="Arial" w:hAnsi="Arial" w:cs="Arial"/>
          <w:b/>
          <w:bCs/>
          <w:sz w:val="23"/>
          <w:szCs w:val="23"/>
        </w:rPr>
        <w:t>4°Año- 2° Ciclo</w:t>
      </w:r>
      <w:bookmarkStart w:id="0" w:name="page126"/>
      <w:bookmarkEnd w:id="0"/>
    </w:p>
    <w:p w:rsidR="000A4EC3" w:rsidRDefault="000A4EC3" w:rsidP="000A4EC3">
      <w:pPr>
        <w:ind w:left="260"/>
        <w:rPr>
          <w:sz w:val="20"/>
          <w:szCs w:val="20"/>
        </w:rPr>
      </w:pPr>
    </w:p>
    <w:p w:rsidR="000A4EC3" w:rsidRDefault="000A4EC3" w:rsidP="000A4EC3">
      <w:pPr>
        <w:ind w:left="260"/>
        <w:rPr>
          <w:sz w:val="20"/>
          <w:szCs w:val="20"/>
        </w:rPr>
      </w:pPr>
      <w:r>
        <w:rPr>
          <w:rFonts w:ascii="Arial" w:eastAsia="Arial" w:hAnsi="Arial" w:cs="Arial"/>
          <w:b/>
          <w:bCs/>
          <w:sz w:val="23"/>
          <w:szCs w:val="23"/>
        </w:rPr>
        <w:t>1 - Presentación general</w:t>
      </w:r>
    </w:p>
    <w:p w:rsidR="000A4EC3" w:rsidRDefault="000A4EC3" w:rsidP="000A4EC3">
      <w:pPr>
        <w:spacing w:line="233" w:lineRule="auto"/>
        <w:ind w:left="260"/>
        <w:jc w:val="both"/>
        <w:rPr>
          <w:sz w:val="20"/>
          <w:szCs w:val="20"/>
        </w:rPr>
      </w:pPr>
      <w:r>
        <w:rPr>
          <w:rFonts w:ascii="Arial" w:eastAsia="Arial" w:hAnsi="Arial" w:cs="Arial"/>
          <w:sz w:val="23"/>
          <w:szCs w:val="23"/>
        </w:rPr>
        <w:t>La presente unidad curricular se cursa en 4</w:t>
      </w:r>
      <w:r>
        <w:rPr>
          <w:rFonts w:ascii="Arial" w:eastAsia="Arial" w:hAnsi="Arial" w:cs="Arial"/>
          <w:sz w:val="27"/>
          <w:szCs w:val="27"/>
          <w:vertAlign w:val="superscript"/>
        </w:rPr>
        <w:t>to</w:t>
      </w:r>
      <w:r>
        <w:rPr>
          <w:rFonts w:ascii="Arial" w:eastAsia="Arial" w:hAnsi="Arial" w:cs="Arial"/>
          <w:sz w:val="23"/>
          <w:szCs w:val="23"/>
        </w:rPr>
        <w:t xml:space="preserve"> año del 2</w:t>
      </w:r>
      <w:r>
        <w:rPr>
          <w:rFonts w:ascii="Arial" w:eastAsia="Arial" w:hAnsi="Arial" w:cs="Arial"/>
          <w:sz w:val="27"/>
          <w:szCs w:val="27"/>
          <w:vertAlign w:val="superscript"/>
        </w:rPr>
        <w:t>do</w:t>
      </w:r>
      <w:r>
        <w:rPr>
          <w:rFonts w:ascii="Arial" w:eastAsia="Arial" w:hAnsi="Arial" w:cs="Arial"/>
          <w:sz w:val="23"/>
          <w:szCs w:val="23"/>
        </w:rPr>
        <w:t xml:space="preserve"> ciclo, esta unidad curricular cuenta con 4 horas cátedras por semana y pertenece al campo de formación Superior de la modalidad técnico profesional de nivel secundario. Profundiza a los alumnos en los conceptos vinculados a la materia su composición y sus propiedades, en construir un modelo matemático de la realidad. La presente unidad se relaciona, integra y articula con distintas unidades curriculares a lo largo de la formación específica del estudiante del ciclo superior. La unidad curricular se articula verticalmente con los contenidos de la unidad curricular de Matemática 3</w:t>
      </w:r>
      <w:r>
        <w:rPr>
          <w:rFonts w:ascii="Arial" w:eastAsia="Arial" w:hAnsi="Arial" w:cs="Arial"/>
          <w:sz w:val="27"/>
          <w:szCs w:val="27"/>
          <w:vertAlign w:val="superscript"/>
        </w:rPr>
        <w:t>ro</w:t>
      </w:r>
      <w:r>
        <w:rPr>
          <w:rFonts w:ascii="Arial" w:eastAsia="Arial" w:hAnsi="Arial" w:cs="Arial"/>
          <w:sz w:val="23"/>
          <w:szCs w:val="23"/>
        </w:rPr>
        <w:t xml:space="preserve"> año del 2</w:t>
      </w:r>
      <w:r>
        <w:rPr>
          <w:rFonts w:ascii="Arial" w:eastAsia="Arial" w:hAnsi="Arial" w:cs="Arial"/>
          <w:sz w:val="27"/>
          <w:szCs w:val="27"/>
          <w:vertAlign w:val="superscript"/>
        </w:rPr>
        <w:t>do</w:t>
      </w:r>
      <w:r>
        <w:rPr>
          <w:rFonts w:ascii="Arial" w:eastAsia="Arial" w:hAnsi="Arial" w:cs="Arial"/>
          <w:sz w:val="23"/>
          <w:szCs w:val="23"/>
        </w:rPr>
        <w:t xml:space="preserve"> ciclo.-</w:t>
      </w:r>
    </w:p>
    <w:p w:rsidR="000A4EC3" w:rsidRDefault="000A4EC3" w:rsidP="000A4EC3">
      <w:pPr>
        <w:spacing w:line="126" w:lineRule="exact"/>
        <w:rPr>
          <w:sz w:val="20"/>
          <w:szCs w:val="20"/>
        </w:rPr>
      </w:pPr>
    </w:p>
    <w:p w:rsidR="000A4EC3" w:rsidRDefault="000A4EC3" w:rsidP="000A4EC3">
      <w:pPr>
        <w:ind w:left="260"/>
        <w:rPr>
          <w:sz w:val="20"/>
          <w:szCs w:val="20"/>
        </w:rPr>
      </w:pPr>
      <w:r>
        <w:rPr>
          <w:rFonts w:ascii="Arial" w:eastAsia="Arial" w:hAnsi="Arial" w:cs="Arial"/>
          <w:b/>
          <w:bCs/>
          <w:sz w:val="23"/>
          <w:szCs w:val="23"/>
        </w:rPr>
        <w:t>2 – Propósitos</w:t>
      </w:r>
    </w:p>
    <w:p w:rsidR="000A4EC3" w:rsidRDefault="000A4EC3" w:rsidP="000A4EC3">
      <w:pPr>
        <w:spacing w:line="256" w:lineRule="auto"/>
        <w:ind w:left="260"/>
        <w:jc w:val="both"/>
        <w:rPr>
          <w:sz w:val="20"/>
          <w:szCs w:val="20"/>
        </w:rPr>
      </w:pPr>
      <w:r>
        <w:rPr>
          <w:rFonts w:ascii="Arial" w:eastAsia="Arial" w:hAnsi="Arial" w:cs="Arial"/>
          <w:sz w:val="21"/>
          <w:szCs w:val="21"/>
        </w:rPr>
        <w:t>Es como propósito, continuar con lo comenzado en el año anterior, del Ciclo Superior de profundizar los contenidos matemáticos; analizarlos desde el punto de vista formal de la matemática como ciencia y abrir un espacio de construcción de nuevos conceptos. En este contexto, el desarrollo de la materia debe aportar niveles crecientes de formalización y generalización. Para hacer matemática es ineludible resolver problemas, aunque esta actividad no se considera suficiente. La descontextualización de los resultados obtenidos es lo que permite generalizar y realizar transferencias pertinentes. Si bien la estructura de la matemática como ciencia formal es el resultado final de conocimientos construidos por la comunidad científica, es importante que los docentes tengan presente que en la Escuela Secundaria ésta debe constituir una meta y no un punto de partida. A pesar de que la matemática escolar difiere del trabajo científico, en el aula se pueden y deben vivenciar el estilo y las características de la tarea que realiza la comunidad matemática. De esta forma los alumnos considerarán a la disciplina como un que hacer posible para todos.</w:t>
      </w:r>
    </w:p>
    <w:p w:rsidR="000A4EC3" w:rsidRDefault="000A4EC3" w:rsidP="000A4EC3">
      <w:pPr>
        <w:spacing w:line="181" w:lineRule="exact"/>
        <w:rPr>
          <w:sz w:val="20"/>
          <w:szCs w:val="20"/>
        </w:rPr>
      </w:pPr>
    </w:p>
    <w:p w:rsidR="000A4EC3" w:rsidRDefault="000A4EC3" w:rsidP="000A4EC3">
      <w:pPr>
        <w:ind w:left="260"/>
        <w:rPr>
          <w:sz w:val="20"/>
          <w:szCs w:val="20"/>
        </w:rPr>
      </w:pPr>
      <w:r>
        <w:rPr>
          <w:rFonts w:ascii="Arial" w:eastAsia="Arial" w:hAnsi="Arial" w:cs="Arial"/>
          <w:b/>
          <w:bCs/>
          <w:sz w:val="23"/>
          <w:szCs w:val="23"/>
        </w:rPr>
        <w:t>3 – Presentación.</w:t>
      </w:r>
    </w:p>
    <w:p w:rsidR="000A4EC3" w:rsidRDefault="000A4EC3" w:rsidP="000A4EC3">
      <w:pPr>
        <w:spacing w:line="264" w:lineRule="auto"/>
        <w:ind w:left="260"/>
        <w:rPr>
          <w:sz w:val="20"/>
          <w:szCs w:val="20"/>
        </w:rPr>
      </w:pPr>
      <w:r>
        <w:rPr>
          <w:rFonts w:ascii="Arial" w:eastAsia="Arial" w:hAnsi="Arial" w:cs="Arial"/>
          <w:sz w:val="21"/>
          <w:szCs w:val="21"/>
        </w:rPr>
        <w:t>La enseñanza de la matemática a nivel secundario ciclo superior, continúa con lo propuesto en los diseños curriculares, de profundiza y orienta el trabajo hacia los niveles de argumentación y formalización que se espera que los alumnos adquieran a lo largo el Ciclo Superior de la Escuela Secundaria. En este sentido, se incorpora contenidos nuevos que complementan y refuerzan la formación básica de los estudiantes.-Los contenidos se han organizado en un bloque: Estadística y probabilidad</w:t>
      </w:r>
    </w:p>
    <w:p w:rsidR="000A4EC3" w:rsidRDefault="000A4EC3" w:rsidP="000A4EC3">
      <w:pPr>
        <w:spacing w:line="160" w:lineRule="exact"/>
        <w:rPr>
          <w:sz w:val="20"/>
          <w:szCs w:val="20"/>
        </w:rPr>
      </w:pPr>
    </w:p>
    <w:p w:rsidR="000A4EC3" w:rsidRDefault="000A4EC3" w:rsidP="000A4EC3">
      <w:pPr>
        <w:ind w:left="260"/>
        <w:rPr>
          <w:sz w:val="20"/>
          <w:szCs w:val="20"/>
        </w:rPr>
      </w:pPr>
      <w:r>
        <w:rPr>
          <w:rFonts w:ascii="Arial" w:eastAsia="Arial" w:hAnsi="Arial" w:cs="Arial"/>
          <w:b/>
          <w:bCs/>
          <w:sz w:val="23"/>
          <w:szCs w:val="23"/>
        </w:rPr>
        <w:t>4-Contenidos.</w:t>
      </w:r>
    </w:p>
    <w:p w:rsidR="000A4EC3" w:rsidRDefault="000A4EC3" w:rsidP="000A4EC3">
      <w:pPr>
        <w:spacing w:line="237" w:lineRule="auto"/>
        <w:ind w:left="260"/>
        <w:rPr>
          <w:sz w:val="20"/>
          <w:szCs w:val="20"/>
        </w:rPr>
      </w:pPr>
      <w:r>
        <w:rPr>
          <w:rFonts w:ascii="Arial" w:eastAsia="Arial" w:hAnsi="Arial" w:cs="Arial"/>
          <w:sz w:val="23"/>
          <w:szCs w:val="23"/>
        </w:rPr>
        <w:t>ESTADÍSTICA Y PROBABILIDAD</w:t>
      </w:r>
    </w:p>
    <w:p w:rsidR="000A4EC3" w:rsidRDefault="000A4EC3" w:rsidP="000A4EC3">
      <w:pPr>
        <w:spacing w:line="256" w:lineRule="auto"/>
        <w:ind w:left="260"/>
        <w:jc w:val="both"/>
        <w:rPr>
          <w:sz w:val="20"/>
          <w:szCs w:val="20"/>
        </w:rPr>
      </w:pPr>
      <w:r>
        <w:rPr>
          <w:rFonts w:ascii="Arial" w:eastAsia="Arial" w:hAnsi="Arial" w:cs="Arial"/>
          <w:sz w:val="21"/>
          <w:szCs w:val="21"/>
        </w:rPr>
        <w:t>Lectura e interpretación de gráficos que aparecen en medios de comunicación. Comparación y análisis de diferentes representaciones gráficas, ventajas de unas sobre otras. Necesidad de definir la población y la muestra. Identificación de variables. Situaciones que requieren la recolección y la organización de datos. Tabla de frecuencias y porcentajes. Selección de herramientas estadísticas pertinentes. Problemas que modelizan fenómenos aleatorios. Características de los sucesos seguros, probables, imposibles. Asignación de probabilidad a un suceso. Definición clásica de probabilidad. La probabilidad como un número perteneciente al intervalo [0; 1]. Sucesos equiprobables. Sucesos mutuamente excluyentes. Sucesos independientes; probabilidad compuesta. Dificultad en determinar sucesos independientes: probabilidad condicional. Relaciones entre estadística y probabilidad. Uso de la combinatoria. Análisis de la frecuencia relativa. Representación gráfica. Escalas. Variable aleatoria. Distribución normal. Dispersión, varianza, desvío estándar. Uso de la computadora como herramienta en la estadística.</w:t>
      </w:r>
      <w:bookmarkStart w:id="1" w:name="page127"/>
      <w:bookmarkEnd w:id="1"/>
    </w:p>
    <w:p w:rsidR="000A4EC3" w:rsidRDefault="000A4EC3" w:rsidP="000A4EC3">
      <w:pPr>
        <w:spacing w:line="230" w:lineRule="exact"/>
        <w:rPr>
          <w:sz w:val="20"/>
          <w:szCs w:val="20"/>
        </w:rPr>
      </w:pPr>
    </w:p>
    <w:p w:rsidR="000A4EC3" w:rsidRDefault="000A4EC3" w:rsidP="000A4EC3">
      <w:pPr>
        <w:ind w:left="260"/>
        <w:rPr>
          <w:sz w:val="20"/>
          <w:szCs w:val="20"/>
        </w:rPr>
      </w:pPr>
      <w:r>
        <w:rPr>
          <w:rFonts w:ascii="Arial" w:eastAsia="Arial" w:hAnsi="Arial" w:cs="Arial"/>
          <w:b/>
          <w:bCs/>
          <w:sz w:val="23"/>
          <w:szCs w:val="23"/>
        </w:rPr>
        <w:lastRenderedPageBreak/>
        <w:t>Alcances y comentarios</w:t>
      </w:r>
    </w:p>
    <w:p w:rsidR="000A4EC3" w:rsidRDefault="000A4EC3" w:rsidP="000A4EC3">
      <w:pPr>
        <w:spacing w:line="6" w:lineRule="exact"/>
        <w:rPr>
          <w:sz w:val="20"/>
          <w:szCs w:val="20"/>
        </w:rPr>
      </w:pPr>
    </w:p>
    <w:p w:rsidR="000A4EC3" w:rsidRDefault="000A4EC3" w:rsidP="000A4EC3">
      <w:pPr>
        <w:spacing w:line="255" w:lineRule="auto"/>
        <w:ind w:left="260"/>
        <w:jc w:val="both"/>
        <w:rPr>
          <w:sz w:val="20"/>
          <w:szCs w:val="20"/>
        </w:rPr>
      </w:pPr>
      <w:r>
        <w:rPr>
          <w:rFonts w:ascii="Arial" w:eastAsia="Arial" w:hAnsi="Arial" w:cs="Arial"/>
          <w:sz w:val="21"/>
          <w:szCs w:val="21"/>
        </w:rPr>
        <w:t>En la comunicación matemática, la simbología propia del lenguaje y las definiciones precisas constituyen un fin a perseguir y construir, cuidando que el lenguaje formalizado no sea un obstáculo para la comprensión de los conceptos. En otras palabras, el lenguaje formal debe contribuir tanto a la claridad de la comunicación como a futuras construcciones teóricas; no debe referir a una información adquirida por el alumno de forma mecánica, arbitraria y carente de significación. Se debe jerarquizar la construcción de estrategias de pensamiento por sobre la aplicación arbitraria de fórmulas. Las tablas brindan las probabilidades, por lo que se constituyen en una herramienta para la resolución de problemas. De las distribuciones continuas esta es la más importante, dado que muchas variables aleatorias tienen una distribución normal y suele aparecer en todo tipo de análisis estadístico como alturas, peso, efectos de dosis de medicamentos o duración de una pieza mecánica, entre otros. La distribución binomial es útil para describir experiencias en las que se repiten varias veces la misma situación en idénticas condiciones.-</w:t>
      </w:r>
    </w:p>
    <w:p w:rsidR="000A4EC3" w:rsidRDefault="000A4EC3" w:rsidP="000A4EC3">
      <w:pPr>
        <w:spacing w:line="188" w:lineRule="exact"/>
        <w:rPr>
          <w:sz w:val="20"/>
          <w:szCs w:val="20"/>
        </w:rPr>
      </w:pPr>
    </w:p>
    <w:p w:rsidR="000A4EC3" w:rsidRDefault="000A4EC3" w:rsidP="000A4EC3">
      <w:pPr>
        <w:ind w:left="260"/>
        <w:rPr>
          <w:sz w:val="20"/>
          <w:szCs w:val="20"/>
        </w:rPr>
      </w:pPr>
      <w:r>
        <w:rPr>
          <w:rFonts w:ascii="Arial" w:eastAsia="Arial" w:hAnsi="Arial" w:cs="Arial"/>
          <w:b/>
          <w:bCs/>
          <w:sz w:val="23"/>
          <w:szCs w:val="23"/>
        </w:rPr>
        <w:t>5-Objetivos</w:t>
      </w:r>
    </w:p>
    <w:p w:rsidR="000A4EC3" w:rsidRDefault="000A4EC3" w:rsidP="000A4EC3">
      <w:pPr>
        <w:spacing w:line="6" w:lineRule="exact"/>
        <w:rPr>
          <w:sz w:val="20"/>
          <w:szCs w:val="20"/>
        </w:rPr>
      </w:pPr>
    </w:p>
    <w:p w:rsidR="000A4EC3" w:rsidRDefault="000A4EC3" w:rsidP="000A4EC3">
      <w:pPr>
        <w:spacing w:line="253" w:lineRule="auto"/>
        <w:ind w:left="260"/>
        <w:jc w:val="both"/>
        <w:rPr>
          <w:sz w:val="20"/>
          <w:szCs w:val="20"/>
        </w:rPr>
      </w:pPr>
      <w:r>
        <w:rPr>
          <w:rFonts w:ascii="Arial" w:eastAsia="Arial" w:hAnsi="Arial" w:cs="Arial"/>
          <w:sz w:val="21"/>
          <w:szCs w:val="21"/>
        </w:rPr>
        <w:t>Estimular el establecimiento, comprobación y validación de hipótesis por parte de los estudiantes, mediante el uso de las herramientas matemáticas pertinentes. Promover el trabajo personal y grupal, valorando los aportes individuales y colectivos para la construcción del conocimiento matemático. Promover el respeto por la diversidad de opiniones, así como una actitud abierta al cambio que permita elegir las mejores soluciones ante diferentes problemas matemáticos. Retroalimentar las planificaciones particulares e institucionales en matemática a partir de la información que brindan las evaluaciones que se realicen. Alentar a los alumnos para que valoren sus producciones matemáticas y las comuniquen en grupos o ante la clase. Planificar las instancias en las que se desarrollará el trabajo matemático. Evaluar los aprendizajes de los alumnos estableciendo relaciones entre lo aprendido y lo enseñado en las clases. Valorar los conocimientos matemáticos extraescolares de los alumnos y retomarlos para su formalización, explicación y enriquecimiento en el marco de la materia. Fomentar la utilización de los libros de matemática como material de consulta y ampliación de lo trabajado en clase. Concienciar acerca de la importancia que la construcción grupal de conocimientos matemáticos tiene en el desarrollo de aprendizajes valiosos. Escuchar, registrar y retomar los aportes de los alumnos durante la clase. Promover la relación entre los contenidos nuevos y los que se hayan trabajado con anterioridad. Estimular la mejora de la terminología y notación matemática en los diferentes contenidos. Incorporar, con distintos grados de complejidad, la enseñanza de la Matemática a través de las Nuevas Tecnologías de la Información y la Conectividad, a los fines de que sean utilizadas para el desarrollo de preguntas, formulación y tratamiento de problemas, así como para la obtención, procesamiento y comunicación de la información generada. Construir conocimientos matemáticos significativos. • Establecer transferencias pertinentes de los conocimientos adquiridos a situaciones intra y/o extra matemáticas. Trabajar de manera autónoma e identificar modelizaciones de situaciones que se presenten en diferentes campos. Comprender la importancia de la formalización como herramienta de comunicación en el ámbito de la matemática. Distinguir las definiciones de las explicaciones y los ejemplos. Explicitar el rigor en las estrategias matemáticas que se utilizan. Comprobar lo razonable de los resultados en las respuestas a los problemas. Valorar la propia capacidad matemática.</w:t>
      </w:r>
      <w:bookmarkStart w:id="2" w:name="page128"/>
      <w:bookmarkStart w:id="3" w:name="_GoBack"/>
      <w:bookmarkEnd w:id="2"/>
      <w:bookmarkEnd w:id="3"/>
    </w:p>
    <w:p w:rsidR="000A4EC3" w:rsidRDefault="000A4EC3" w:rsidP="000A4EC3">
      <w:pPr>
        <w:spacing w:line="200" w:lineRule="exact"/>
        <w:rPr>
          <w:sz w:val="20"/>
          <w:szCs w:val="20"/>
        </w:rPr>
      </w:pPr>
    </w:p>
    <w:p w:rsidR="000A4EC3" w:rsidRDefault="000A4EC3" w:rsidP="000A4EC3">
      <w:pPr>
        <w:spacing w:line="200" w:lineRule="exact"/>
        <w:rPr>
          <w:sz w:val="20"/>
          <w:szCs w:val="20"/>
        </w:rPr>
      </w:pPr>
    </w:p>
    <w:p w:rsidR="000A4EC3" w:rsidRDefault="000A4EC3" w:rsidP="000A4EC3">
      <w:pPr>
        <w:spacing w:line="230" w:lineRule="exact"/>
        <w:rPr>
          <w:sz w:val="20"/>
          <w:szCs w:val="20"/>
        </w:rPr>
      </w:pPr>
    </w:p>
    <w:p w:rsidR="000A4EC3" w:rsidRDefault="000A4EC3" w:rsidP="000A4EC3">
      <w:pPr>
        <w:ind w:left="260"/>
        <w:rPr>
          <w:sz w:val="20"/>
          <w:szCs w:val="20"/>
        </w:rPr>
      </w:pPr>
      <w:r>
        <w:rPr>
          <w:rFonts w:ascii="Arial" w:eastAsia="Arial" w:hAnsi="Arial" w:cs="Arial"/>
          <w:b/>
          <w:bCs/>
          <w:sz w:val="23"/>
          <w:szCs w:val="23"/>
        </w:rPr>
        <w:t>6 -Entorno de aprendizaje y recursos didácticos.</w:t>
      </w:r>
    </w:p>
    <w:p w:rsidR="000A4EC3" w:rsidRDefault="000A4EC3" w:rsidP="000A4EC3">
      <w:pPr>
        <w:spacing w:line="6" w:lineRule="exact"/>
        <w:rPr>
          <w:sz w:val="20"/>
          <w:szCs w:val="20"/>
        </w:rPr>
      </w:pPr>
    </w:p>
    <w:p w:rsidR="000A4EC3" w:rsidRDefault="000A4EC3" w:rsidP="000A4EC3">
      <w:pPr>
        <w:spacing w:line="260" w:lineRule="auto"/>
        <w:ind w:left="260"/>
        <w:jc w:val="both"/>
        <w:rPr>
          <w:sz w:val="20"/>
          <w:szCs w:val="20"/>
        </w:rPr>
      </w:pPr>
      <w:r>
        <w:rPr>
          <w:rFonts w:ascii="Arial" w:eastAsia="Arial" w:hAnsi="Arial" w:cs="Arial"/>
          <w:sz w:val="21"/>
          <w:szCs w:val="21"/>
        </w:rPr>
        <w:t xml:space="preserve">Principalmente esta unidad curricular será abordada principalmente en el ámbito áulico, aunque sería deseable expandir a realizar algunas experiencias prácticas en el laboratorio matemático o informático, deberá contar con el equipamiento necesario para </w:t>
      </w:r>
      <w:r>
        <w:rPr>
          <w:rFonts w:ascii="Arial" w:eastAsia="Arial" w:hAnsi="Arial" w:cs="Arial"/>
          <w:sz w:val="21"/>
          <w:szCs w:val="21"/>
        </w:rPr>
        <w:lastRenderedPageBreak/>
        <w:t>el desarrollo de las actividades propuestas. El aula debe constar con todas las necesidades básicas para el desarrollo de las consignas curriculares, por otra parte es apropiado que algunos temas, puedan ser explicados mediantes recursos tecnológicos, en ese caso es necesario poder acceder a una PC en el establecimiento o laboratorio informático, para las mismas.</w:t>
      </w:r>
    </w:p>
    <w:p w:rsidR="000A4EC3" w:rsidRDefault="000A4EC3" w:rsidP="000A4EC3">
      <w:pPr>
        <w:spacing w:line="178" w:lineRule="exact"/>
        <w:rPr>
          <w:sz w:val="20"/>
          <w:szCs w:val="20"/>
        </w:rPr>
      </w:pPr>
    </w:p>
    <w:p w:rsidR="000A4EC3" w:rsidRDefault="000A4EC3" w:rsidP="000A4EC3">
      <w:pPr>
        <w:ind w:left="260"/>
        <w:rPr>
          <w:sz w:val="20"/>
          <w:szCs w:val="20"/>
        </w:rPr>
      </w:pPr>
      <w:r>
        <w:rPr>
          <w:rFonts w:ascii="Arial" w:eastAsia="Arial" w:hAnsi="Arial" w:cs="Arial"/>
          <w:b/>
          <w:bCs/>
          <w:sz w:val="23"/>
          <w:szCs w:val="23"/>
        </w:rPr>
        <w:t>7 -Actividades - ejercitación - trabajos prácticos</w:t>
      </w:r>
    </w:p>
    <w:p w:rsidR="000A4EC3" w:rsidRDefault="000A4EC3" w:rsidP="000A4EC3">
      <w:pPr>
        <w:spacing w:line="6" w:lineRule="exact"/>
        <w:rPr>
          <w:sz w:val="20"/>
          <w:szCs w:val="20"/>
        </w:rPr>
      </w:pPr>
    </w:p>
    <w:p w:rsidR="000A4EC3" w:rsidRDefault="000A4EC3" w:rsidP="000A4EC3">
      <w:pPr>
        <w:spacing w:line="236" w:lineRule="auto"/>
        <w:ind w:left="260"/>
        <w:jc w:val="both"/>
        <w:rPr>
          <w:sz w:val="20"/>
          <w:szCs w:val="20"/>
        </w:rPr>
      </w:pPr>
      <w:r>
        <w:rPr>
          <w:rFonts w:ascii="Arial" w:eastAsia="Arial" w:hAnsi="Arial" w:cs="Arial"/>
          <w:sz w:val="23"/>
          <w:szCs w:val="23"/>
        </w:rPr>
        <w:t>Plantear ejercicios específicos, sobre situaciones problemáticas extraídas en la medida de lo posible del entorno real. Describir trabajos prácticos de investigación para resolver consignas tendientes a favorecer el desarrollo de las clases y el pensamiento reflexivo. Además de la resolución de ejercicios que permitan que el alumno exprese los conceptos aprendidos de manera escrita y ejercicios prácticos.-</w:t>
      </w:r>
    </w:p>
    <w:p w:rsidR="000A4EC3" w:rsidRDefault="000A4EC3" w:rsidP="000A4EC3">
      <w:pPr>
        <w:spacing w:line="199" w:lineRule="exact"/>
        <w:rPr>
          <w:sz w:val="20"/>
          <w:szCs w:val="20"/>
        </w:rPr>
      </w:pPr>
    </w:p>
    <w:p w:rsidR="000A4EC3" w:rsidRDefault="000A4EC3" w:rsidP="000A4EC3">
      <w:pPr>
        <w:ind w:left="260"/>
        <w:rPr>
          <w:sz w:val="20"/>
          <w:szCs w:val="20"/>
        </w:rPr>
      </w:pPr>
      <w:r>
        <w:rPr>
          <w:rFonts w:ascii="Arial" w:eastAsia="Arial" w:hAnsi="Arial" w:cs="Arial"/>
          <w:b/>
          <w:bCs/>
          <w:sz w:val="23"/>
          <w:szCs w:val="23"/>
        </w:rPr>
        <w:t>8 -Evaluación</w:t>
      </w:r>
    </w:p>
    <w:p w:rsidR="000A4EC3" w:rsidRDefault="000A4EC3" w:rsidP="000A4EC3">
      <w:pPr>
        <w:spacing w:line="6" w:lineRule="exact"/>
        <w:rPr>
          <w:sz w:val="20"/>
          <w:szCs w:val="20"/>
        </w:rPr>
      </w:pPr>
    </w:p>
    <w:p w:rsidR="00CF1771" w:rsidRDefault="000A4EC3" w:rsidP="000A4EC3">
      <w:r>
        <w:rPr>
          <w:rFonts w:ascii="Arial" w:eastAsia="Arial" w:hAnsi="Arial" w:cs="Arial"/>
          <w:sz w:val="23"/>
          <w:szCs w:val="23"/>
        </w:rPr>
        <w:t>El propósito de la evaluación es fijar y aplicar los conceptos, conocimientos, métodos y procedimientos desarrollados en este espacio de aprendizaje. Se Propone una evaluación: Formativa: que fortalezca el proceso de aprendizaje a través de una interacción directa indagando sobre los conceptos tratados, su correcta fijación y asociación con los conocimientos previos. Los principales indicadores serán: el grado de asimilación obtenido en forma individual y/o grupal a medida que transcurren las clases, la iniciativa, la responsabilidad, la participación, la dedicación, el esfuerzo para superarse, el trabajo individual y el grupal, el respeto, la utilización de los métodos de trabajo, la resolución de los ejercicios planteados, el desarrollo de trabajos prácticos y la utilización de las normas de trabajo aplicables en el área. Continua y sistemática: Que sea permanente observando el desempeño en la actividad diaria según un plan y criterios de evaluación predeterminados y de conocimiento pleno por parte del alumno. Presentación de la carpeta de trabajos prácticos y explicación de ejercicios resueltos. Análisis y resolución de situaciones problemáticas</w:t>
      </w:r>
    </w:p>
    <w:sectPr w:rsidR="00CF1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3"/>
    <w:rsid w:val="000A4EC3"/>
    <w:rsid w:val="00CF17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8B7B"/>
  <w15:chartTrackingRefBased/>
  <w15:docId w15:val="{C1FE7FE0-49B6-4EB3-BBA8-E1F63F47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C3"/>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1484</Words>
  <Characters>8162</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1</cp:revision>
  <dcterms:created xsi:type="dcterms:W3CDTF">2020-07-14T20:15:00Z</dcterms:created>
  <dcterms:modified xsi:type="dcterms:W3CDTF">2020-07-14T20:16:00Z</dcterms:modified>
</cp:coreProperties>
</file>